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 w:hAnsi="Times New Roman"/>
          <w:caps w:val="false"/>
          <w:smallCaps w:val="false"/>
          <w:sz w:val="20"/>
        </w:rPr>
      </w:pPr>
      <w:bookmarkStart w:id="0" w:name="vxrt20260824_8k.htm"/>
      <w:bookmarkStart w:id="1" w:name="ksvxrt20260824_8k"/>
      <w:bookmarkEnd w:id="0"/>
      <w:bookmarkEnd w:id="1"/>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FORM 8-K</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August 21, 2026 </w:t>
      </w:r>
    </w:p>
    <w:p>
      <w:pPr>
        <w:pStyle w:val="TextBody"/>
        <w:bidi w:val="0"/>
        <w:spacing w:before="0" w:after="0"/>
        <w:ind w:left="0" w:right="0" w:hanging="0"/>
        <w:jc w:val="left"/>
        <w:rPr>
          <w:caps w:val="false"/>
          <w:smallCaps w:val="false"/>
        </w:rPr>
      </w:pPr>
      <w:r>
        <w:rPr>
          <w:caps w:val="false"/>
          <w:smallCaps w:val="false"/>
        </w:rPr>
        <w:t> </w:t>
      </w:r>
    </w:p>
    <w:tbl>
      <w:tblPr>
        <w:tblW w:w="4145" w:type="dxa"/>
        <w:jc w:val="left"/>
        <w:tblInd w:w="0" w:type="dxa"/>
        <w:tblLayout w:type="fixed"/>
        <w:tblCellMar>
          <w:top w:w="0" w:type="dxa"/>
          <w:left w:w="0" w:type="dxa"/>
          <w:bottom w:w="0" w:type="dxa"/>
          <w:right w:w="0" w:type="dxa"/>
        </w:tblCellMar>
      </w:tblPr>
      <w:tblGrid>
        <w:gridCol w:w="4145"/>
      </w:tblGrid>
      <w:tr>
        <w:trPr/>
        <w:tc>
          <w:tcPr>
            <w:tcW w:w="4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Vaxart, Inc.</w:t>
            </w:r>
          </w:p>
        </w:tc>
      </w:tr>
      <w:tr>
        <w:trPr/>
        <w:tc>
          <w:tcPr>
            <w:tcW w:w="41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tc>
      </w:tr>
    </w:tbl>
    <w:p>
      <w:pPr>
        <w:pStyle w:val="TextBody"/>
        <w:bidi w:val="0"/>
        <w:spacing w:before="0" w:after="0"/>
        <w:ind w:left="0" w:right="0" w:hanging="0"/>
        <w:jc w:val="left"/>
        <w:rPr>
          <w:caps w:val="false"/>
          <w:smallCaps w:val="false"/>
        </w:rPr>
      </w:pPr>
      <w:r>
        <w:rPr>
          <w:caps w:val="false"/>
          <w:smallCaps w:val="false"/>
        </w:rPr>
        <w:t> </w:t>
      </w:r>
    </w:p>
    <w:tbl>
      <w:tblPr>
        <w:tblW w:w="8670" w:type="dxa"/>
        <w:jc w:val="left"/>
        <w:tblInd w:w="0" w:type="dxa"/>
        <w:tblLayout w:type="fixed"/>
        <w:tblCellMar>
          <w:top w:w="0" w:type="dxa"/>
          <w:left w:w="0" w:type="dxa"/>
          <w:bottom w:w="28" w:type="dxa"/>
          <w:right w:w="0" w:type="dxa"/>
        </w:tblCellMar>
      </w:tblPr>
      <w:tblGrid>
        <w:gridCol w:w="3575"/>
        <w:gridCol w:w="60"/>
        <w:gridCol w:w="2210"/>
        <w:gridCol w:w="60"/>
        <w:gridCol w:w="2765"/>
      </w:tblGrid>
      <w:tr>
        <w:trPr/>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2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001-35285</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59-1212264</w:t>
            </w:r>
          </w:p>
        </w:tc>
      </w:tr>
      <w:tr>
        <w:trPr/>
        <w:tc>
          <w:tcPr>
            <w:tcW w:w="35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2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r>
        <w:trPr/>
        <w:tc>
          <w:tcPr>
            <w:tcW w:w="357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21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tcMar>
              <w:bottom w:w="0" w:type="dxa"/>
            </w:tcMar>
            <w:vAlign w:val="center"/>
          </w:tcPr>
          <w:p>
            <w:pPr>
              <w:pStyle w:val="TableContents"/>
              <w:bidi w:val="0"/>
              <w:spacing w:before="0" w:after="0"/>
              <w:ind w:left="0" w:right="0" w:hanging="0"/>
              <w:jc w:val="left"/>
              <w:rPr/>
            </w:pPr>
            <w:r>
              <w:rPr/>
              <w:t> </w:t>
            </w:r>
          </w:p>
        </w:tc>
      </w:tr>
      <w:tr>
        <w:trPr/>
        <w:tc>
          <w:tcPr>
            <w:tcW w:w="5845" w:type="dxa"/>
            <w:gridSpan w:val="3"/>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310 Utah Avenue, Suite 150, South San Francisco, California</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94080</w:t>
            </w:r>
          </w:p>
        </w:tc>
      </w:tr>
      <w:tr>
        <w:trPr/>
        <w:tc>
          <w:tcPr>
            <w:tcW w:w="5845" w:type="dxa"/>
            <w:gridSpan w:val="3"/>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(650) 550-3500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5045" w:type="dxa"/>
        <w:jc w:val="left"/>
        <w:tblInd w:w="0" w:type="dxa"/>
        <w:tblLayout w:type="fixed"/>
        <w:tblCellMar>
          <w:top w:w="0" w:type="dxa"/>
          <w:left w:w="0" w:type="dxa"/>
          <w:bottom w:w="0" w:type="dxa"/>
          <w:right w:w="0" w:type="dxa"/>
        </w:tblCellMar>
      </w:tblPr>
      <w:tblGrid>
        <w:gridCol w:w="60"/>
        <w:gridCol w:w="4925"/>
        <w:gridCol w:w="60"/>
      </w:tblGrid>
      <w:tr>
        <w:trPr/>
        <w:tc>
          <w:tcPr>
            <w:tcW w:w="60" w:type="dxa"/>
            <w:tcBorders/>
            <w:vAlign w:val="center"/>
          </w:tcPr>
          <w:p>
            <w:pPr>
              <w:pStyle w:val="TableContents"/>
              <w:bidi w:val="0"/>
              <w:spacing w:before="0" w:after="0"/>
              <w:ind w:left="0" w:right="0" w:hanging="0"/>
              <w:jc w:val="left"/>
              <w:rPr/>
            </w:pPr>
            <w:r>
              <w:rPr/>
              <w:t> </w:t>
            </w:r>
          </w:p>
        </w:tc>
        <w:tc>
          <w:tcPr>
            <w:tcW w:w="49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 Applicable</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49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0"/>
              <w:ind w:left="0" w:right="0" w:hanging="0"/>
              <w:jc w:val="left"/>
              <w:rPr/>
            </w:pPr>
            <w:r>
              <w:rPr/>
              <w:t>☐</w:t>
            </w:r>
          </w:p>
        </w:tc>
        <w:tc>
          <w:tcPr>
            <w:tcW w:w="91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480" w:type="dxa"/>
        <w:jc w:val="left"/>
        <w:tblInd w:w="0" w:type="dxa"/>
        <w:tblLayout w:type="fixed"/>
        <w:tblCellMar>
          <w:top w:w="0" w:type="dxa"/>
          <w:left w:w="0" w:type="dxa"/>
          <w:bottom w:w="28" w:type="dxa"/>
          <w:right w:w="0" w:type="dxa"/>
        </w:tblCellMar>
      </w:tblPr>
      <w:tblGrid>
        <w:gridCol w:w="1475"/>
        <w:gridCol w:w="60"/>
        <w:gridCol w:w="1310"/>
        <w:gridCol w:w="60"/>
        <w:gridCol w:w="3575"/>
      </w:tblGrid>
      <w:tr>
        <w:trPr/>
        <w:tc>
          <w:tcPr>
            <w:tcW w:w="14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31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14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3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5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The registrant’s common stock is quoted on the OTCQX® Best Market under the symbol “VXRT.”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990" w:type="dxa"/>
        <w:jc w:val="left"/>
        <w:tblInd w:w="0" w:type="dxa"/>
        <w:tblLayout w:type="fixed"/>
        <w:tblCellMar>
          <w:top w:w="0" w:type="dxa"/>
          <w:left w:w="0" w:type="dxa"/>
          <w:bottom w:w="0" w:type="dxa"/>
          <w:right w:w="0" w:type="dxa"/>
        </w:tblCellMar>
      </w:tblPr>
      <w:tblGrid>
        <w:gridCol w:w="815"/>
        <w:gridCol w:w="1175"/>
      </w:tblGrid>
      <w:tr>
        <w:trPr/>
        <w:tc>
          <w:tcPr>
            <w:tcW w:w="8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8.01</w:t>
            </w:r>
          </w:p>
        </w:tc>
        <w:tc>
          <w:tcPr>
            <w:tcW w:w="11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August 21, 2026, the Board of Directors (the “Board”) of Vaxart, Inc. (the “Company”), upon the recommendation of the Nominating and Governance Committee, formed two new committees of the Board: the Clinical and Regulatory Affairs Committee and the Stockholder Engagement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Clinical and Regulatory Affairs Committee is responsible among other responsibilities, for reviewing and providing oversight and advice regarding the Company’s research, clinical, and regulatory programs on behalf of the Board. James B. Breitmeyer, M.D., Ph.D. and David Wheadon, M.D. were appointed as members of the Clinical and Regulatory Affairs Committee, with Dr. Breitmeyer serving as Chair.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Stockholder Engagement Committee is responsible, among other responsibilities, for overseeing the advancement of the Company’s relations with stockholders. W. Mark Watson and Steven Lo were appointed as members of the Stockholder Engagement Committee, with Mr. Watson serving as Interim Chair. Pursuant to that certain Cooperation Agreement, dated as of July 1, 2026, entered into between the Company and the other parties thereto, the Company anticipates appointing a new director to the Board in the future who will serve as Chair of the Stockholder Engagement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Cautionary Note Regarding 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Current Report on Form 8-K contains forward-looking statements within the meaning of Section 27A of the Securities Act of 1933, as amended (the “Securities Act”), and Section 21E of the Securities Exchange Act of 1934, as amended (the “Exchange Act”), including with respect to the anticipated appointment of a new director. These statements are subject to risks and uncertainties that could cause actual results to differ materially, including risks and other factors described in the Company’s filings with the U.S. Securities and Exchange Commission, including its most recent Annual Report on Form 10-K and subsequent Quarterly Reports on Form 10-Q. The Company undertakes no obligation to update any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mallCaps/>
          <w:sz w:val="20"/>
        </w:rPr>
      </w:pPr>
      <w:r>
        <w:rPr>
          <w:rFonts w:ascii="Times New Roman" w:hAnsi="Times New Roman"/>
          <w:b/>
          <w:smallCaps/>
          <w:sz w:val="20"/>
        </w:rPr>
        <w:t>SIGNATURES</w:t>
      </w:r>
      <w:r>
        <w:rPr>
          <w:rFonts w:ascii="Times New Roman" w:hAnsi="Times New Roman"/>
          <w:smallCaps/>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250" w:type="dxa"/>
        <w:jc w:val="left"/>
        <w:tblInd w:w="0" w:type="dxa"/>
        <w:tblLayout w:type="fixed"/>
        <w:tblCellMar>
          <w:top w:w="0" w:type="dxa"/>
          <w:left w:w="0" w:type="dxa"/>
          <w:bottom w:w="0" w:type="dxa"/>
          <w:right w:w="0" w:type="dxa"/>
        </w:tblCellMar>
      </w:tblPr>
      <w:tblGrid>
        <w:gridCol w:w="1850"/>
        <w:gridCol w:w="320"/>
        <w:gridCol w:w="3080"/>
      </w:tblGrid>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25, 2026</w:t>
            </w:r>
          </w:p>
        </w:tc>
        <w:tc>
          <w:tcPr>
            <w:tcW w:w="32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VAXART, INC.</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i/>
                <w:caps w:val="false"/>
                <w:smallCaps w:val="false"/>
                <w:sz w:val="20"/>
              </w:rPr>
              <w:t>Steven Lo</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Lo</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bl>
    <w:p>
      <w:pPr>
        <w:pStyle w:val="TextBody"/>
        <w:bidi w:val="0"/>
        <w:spacing w:before="0" w:after="283"/>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664</Words>
  <Characters>3727</Characters>
  <CharactersWithSpaces>4402</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