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460" w:hanging="30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2025</w:t>
      </w:r>
    </w:p>
    <w:p>
      <w:pPr>
        <w:jc w:val="center"/>
        <w:ind w:right="-19"/>
        <w:spacing w:after="0" w:line="224" w:lineRule="auto"/>
        <w:rPr>
          <w:sz w:val="20"/>
          <w:szCs w:val="20"/>
          <w:color w:val="auto"/>
        </w:rPr>
      </w:pPr>
      <w:r>
        <w:rPr>
          <w:rFonts w:ascii="Times New Roman" w:cs="Times New Roman" w:eastAsia="Times New Roman" w:hAnsi="Times New Roman"/>
          <w:sz w:val="14"/>
          <w:szCs w:val="14"/>
          <w:color w:val="auto"/>
        </w:rPr>
        <w:t>OR</w:t>
      </w:r>
    </w:p>
    <w:p>
      <w:pPr>
        <w:spacing w:after="0" w:line="1" w:lineRule="exact"/>
        <w:rPr>
          <w:sz w:val="24"/>
          <w:szCs w:val="24"/>
          <w:color w:val="auto"/>
        </w:rPr>
      </w:pPr>
    </w:p>
    <w:p>
      <w:pPr>
        <w:ind w:left="460" w:hanging="30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80" w:type="dxa"/>
            <w:vAlign w:val="bottom"/>
            <w:gridSpan w:val="5"/>
          </w:tcPr>
          <w:p>
            <w:pPr>
              <w:ind w:left="100"/>
              <w:spacing w:after="0" w:line="189" w:lineRule="exact"/>
              <w:rPr>
                <w:sz w:val="20"/>
                <w:szCs w:val="20"/>
                <w:color w:val="auto"/>
              </w:rPr>
            </w:pPr>
            <w:r>
              <w:rPr>
                <w:rFonts w:ascii="Times New Roman" w:cs="Times New Roman" w:eastAsia="Times New Roman" w:hAnsi="Times New Roman"/>
                <w:sz w:val="18"/>
                <w:szCs w:val="18"/>
                <w:color w:val="auto"/>
              </w:rPr>
              <w:t>For the transition period from</w:t>
            </w:r>
          </w:p>
        </w:tc>
        <w:tc>
          <w:tcPr>
            <w:tcW w:w="620" w:type="dxa"/>
            <w:vAlign w:val="bottom"/>
            <w:tcBorders>
              <w:bottom w:val="single" w:sz="8" w:color="auto"/>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to</w:t>
            </w:r>
          </w:p>
        </w:tc>
        <w:tc>
          <w:tcPr>
            <w:tcW w:w="900" w:type="dxa"/>
            <w:vAlign w:val="bottom"/>
            <w:tcBorders>
              <w:bottom w:val="single" w:sz="8" w:color="auto"/>
            </w:tcBorders>
            <w:gridSpan w:val="2"/>
          </w:tcPr>
          <w:p>
            <w:pPr>
              <w:spacing w:after="0"/>
              <w:rPr>
                <w:sz w:val="16"/>
                <w:szCs w:val="16"/>
                <w:color w:val="auto"/>
              </w:rPr>
            </w:pPr>
          </w:p>
        </w:tc>
        <w:tc>
          <w:tcPr>
            <w:tcW w:w="194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60" w:type="dxa"/>
            <w:vAlign w:val="bottom"/>
            <w:gridSpan w:val="13"/>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Commission file number: 001-35285</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13"/>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left="218"/>
              <w:spacing w:after="0"/>
              <w:rPr>
                <w:sz w:val="20"/>
                <w:szCs w:val="20"/>
                <w:color w:val="auto"/>
              </w:rPr>
            </w:pPr>
            <w:r>
              <w:rPr>
                <w:rFonts w:ascii="Times New Roman" w:cs="Times New Roman" w:eastAsia="Times New Roman" w:hAnsi="Times New Roman"/>
                <w:sz w:val="25"/>
                <w:szCs w:val="25"/>
                <w:b w:val="1"/>
                <w:bCs w:val="1"/>
                <w:color w:val="auto"/>
                <w:w w:val="99"/>
              </w:rPr>
              <w:t>Vaxart, Inc.</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gridSpan w:val="12"/>
          </w:tcPr>
          <w:p>
            <w:pPr>
              <w:jc w:val="center"/>
              <w:ind w:right="53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59-1212264</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80" w:type="dxa"/>
            <w:vAlign w:val="bottom"/>
            <w:gridSpan w:val="9"/>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170 Harbor Way, Suite 300, South San Francisco</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CA 94080</w:t>
            </w:r>
          </w:p>
        </w:tc>
        <w:tc>
          <w:tcPr>
            <w:tcW w:w="3360" w:type="dxa"/>
            <w:vAlign w:val="bottom"/>
            <w:gridSpan w:val="7"/>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(650) 550-3500</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980" w:type="dxa"/>
            <w:vAlign w:val="bottom"/>
            <w:tcBorders>
              <w:top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gridSpan w:val="10"/>
          </w:tcPr>
          <w:p>
            <w:pPr>
              <w:jc w:val="center"/>
              <w:ind w:right="5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 w:type="dxa"/>
            <w:vAlign w:val="bottom"/>
          </w:tcPr>
          <w:p>
            <w:pPr>
              <w:spacing w:after="0"/>
              <w:rPr>
                <w:sz w:val="19"/>
                <w:szCs w:val="19"/>
                <w:color w:val="auto"/>
              </w:rPr>
            </w:pPr>
          </w:p>
        </w:tc>
      </w:tr>
      <w:tr>
        <w:trPr>
          <w:trHeight w:val="395"/>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60" w:type="dxa"/>
            <w:vAlign w:val="bottom"/>
            <w:gridSpan w:val="14"/>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gridSpan w:val="5"/>
          </w:tcPr>
          <w:p>
            <w:pPr>
              <w:jc w:val="center"/>
              <w:ind w:left="278"/>
              <w:spacing w:after="0"/>
              <w:rPr>
                <w:sz w:val="20"/>
                <w:szCs w:val="20"/>
                <w:color w:val="auto"/>
              </w:rPr>
            </w:pPr>
            <w:r>
              <w:rPr>
                <w:rFonts w:ascii="Times New Roman" w:cs="Times New Roman" w:eastAsia="Times New Roman" w:hAnsi="Times New Roman"/>
                <w:sz w:val="18"/>
                <w:szCs w:val="18"/>
                <w:color w:val="auto"/>
                <w:w w:val="99"/>
              </w:rPr>
              <w:t>Trading symbol</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registered</w:t>
            </w:r>
          </w:p>
        </w:tc>
        <w:tc>
          <w:tcPr>
            <w:tcW w:w="10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20" w:type="dxa"/>
            <w:vAlign w:val="bottom"/>
            <w:gridSpan w:val="5"/>
          </w:tcPr>
          <w:p>
            <w:pPr>
              <w:jc w:val="center"/>
              <w:ind w:left="278"/>
              <w:spacing w:after="0"/>
              <w:rPr>
                <w:sz w:val="20"/>
                <w:szCs w:val="20"/>
                <w:color w:val="auto"/>
              </w:rPr>
            </w:pPr>
            <w:r>
              <w:rPr>
                <w:rFonts w:ascii="Times New Roman" w:cs="Times New Roman" w:eastAsia="Times New Roman" w:hAnsi="Times New Roman"/>
                <w:sz w:val="18"/>
                <w:szCs w:val="18"/>
                <w:b w:val="1"/>
                <w:bCs w:val="1"/>
                <w:color w:val="auto"/>
                <w:w w:val="97"/>
              </w:rPr>
              <w:t>VXRT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6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680" w:type="dxa"/>
            <w:vAlign w:val="bottom"/>
            <w:gridSpan w:val="15"/>
          </w:tcPr>
          <w:p>
            <w:pPr>
              <w:jc w:val="center"/>
              <w:ind w:right="13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 None</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0"/>
        </w:trPr>
        <w:tc>
          <w:tcPr>
            <w:tcW w:w="9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1140" w:type="dxa"/>
            <w:vAlign w:val="bottom"/>
            <w:gridSpan w:val="4"/>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432"/>
        </w:trPr>
        <w:tc>
          <w:tcPr>
            <w:tcW w:w="9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1140" w:type="dxa"/>
            <w:vAlign w:val="bottom"/>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bl>
    <w:p>
      <w:pPr>
        <w:spacing w:after="0" w:line="17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04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spacing w:after="0" w:line="17"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346" w:lineRule="exact"/>
        <w:rPr>
          <w:sz w:val="20"/>
          <w:szCs w:val="20"/>
          <w:color w:val="auto"/>
        </w:rPr>
      </w:pPr>
    </w:p>
    <w:p>
      <w:pPr>
        <w:spacing w:after="0" w:line="207" w:lineRule="exact"/>
        <w:tabs>
          <w:tab w:leader="none" w:pos="98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as of the last business day of the Registrant’s most recently completed second fiscal quarter, June 30, 2025, based on the last reported sales price of the Registrant’s common stock of $0.45 per share, was $102,712,906. As of March 6, 2026, the registrant had a total of 240,634,372 shares of common stock, $0.0001 par value, outstanding.</w:t>
      </w:r>
    </w:p>
    <w:p>
      <w:pPr>
        <w:spacing w:after="0" w:line="176"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common stock trades exclusively on the OTCQX® Best Market under the symbol “VXRT.”</w:t>
      </w:r>
    </w:p>
    <w:p>
      <w:pPr>
        <w:spacing w:after="0" w:line="27" w:lineRule="exact"/>
        <w:rPr>
          <w:rFonts w:ascii="Times New Roman" w:cs="Times New Roman" w:eastAsia="Times New Roman" w:hAnsi="Times New Roman"/>
          <w:sz w:val="18"/>
          <w:szCs w:val="18"/>
          <w:color w:val="auto"/>
        </w:rPr>
      </w:pPr>
    </w:p>
    <w:p>
      <w:pPr>
        <w:ind w:left="3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DOCUMENTS INCORPORATED BY REFERENCE</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registrant intends to file a definitive proxy statement pursuant to Regulation 14A within 120 days after the end of the fiscal year ended December 31, 2025. Portions of such proxy statement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14"/>
            <w:vMerge w:val="restart"/>
          </w:tcPr>
          <w:p>
            <w:pPr>
              <w:ind w:left="180"/>
              <w:spacing w:after="0"/>
              <w:rPr>
                <w:sz w:val="20"/>
                <w:szCs w:val="20"/>
                <w:color w:val="auto"/>
              </w:rPr>
            </w:pPr>
            <w:r>
              <w:rPr>
                <w:rFonts w:ascii="Times New Roman" w:cs="Times New Roman" w:eastAsia="Times New Roman" w:hAnsi="Times New Roman"/>
                <w:sz w:val="18"/>
                <w:szCs w:val="18"/>
                <w:color w:val="0000EE"/>
                <w:w w:val="98"/>
              </w:rPr>
              <w:t>FORWARD-LOOKING STATEMENTS</w:t>
            </w:r>
          </w:p>
        </w:tc>
        <w:tc>
          <w:tcPr>
            <w:tcW w:w="1920" w:type="dxa"/>
            <w:vAlign w:val="bottom"/>
            <w:tcBorders>
              <w:top w:val="single" w:sz="8" w:color="auto"/>
              <w:bottom w:val="single" w:sz="8" w:color="auto"/>
            </w:tcBorders>
            <w:gridSpan w:val="11"/>
            <w:vMerge w:val="restart"/>
          </w:tcPr>
          <w:p>
            <w:pPr>
              <w:spacing w:after="0"/>
              <w:rPr>
                <w:sz w:val="24"/>
                <w:szCs w:val="24"/>
                <w:color w:val="auto"/>
              </w:rPr>
            </w:pPr>
          </w:p>
        </w:tc>
        <w:tc>
          <w:tcPr>
            <w:tcW w:w="4220" w:type="dxa"/>
            <w:vAlign w:val="bottom"/>
            <w:gridSpan w:val="7"/>
            <w:vMerge w:val="restart"/>
          </w:tcPr>
          <w:p>
            <w:pPr>
              <w:spacing w:after="0"/>
              <w:rPr>
                <w:sz w:val="24"/>
                <w:szCs w:val="24"/>
                <w:color w:val="auto"/>
              </w:rPr>
            </w:pPr>
          </w:p>
        </w:tc>
        <w:tc>
          <w:tcPr>
            <w:tcW w:w="4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14"/>
            <w:vMerge w:val="continue"/>
          </w:tcPr>
          <w:p>
            <w:pPr>
              <w:spacing w:after="0"/>
              <w:rPr>
                <w:sz w:val="14"/>
                <w:szCs w:val="14"/>
                <w:color w:val="auto"/>
              </w:rPr>
            </w:pPr>
          </w:p>
        </w:tc>
        <w:tc>
          <w:tcPr>
            <w:tcW w:w="1920" w:type="dxa"/>
            <w:vAlign w:val="bottom"/>
            <w:gridSpan w:val="11"/>
            <w:vMerge w:val="continue"/>
          </w:tcPr>
          <w:p>
            <w:pPr>
              <w:spacing w:after="0"/>
              <w:rPr>
                <w:sz w:val="14"/>
                <w:szCs w:val="14"/>
                <w:color w:val="auto"/>
              </w:rPr>
            </w:pPr>
          </w:p>
        </w:tc>
        <w:tc>
          <w:tcPr>
            <w:tcW w:w="4220" w:type="dxa"/>
            <w:vAlign w:val="bottom"/>
            <w:gridSpan w:val="7"/>
            <w:vMerge w:val="continue"/>
          </w:tcPr>
          <w:p>
            <w:pPr>
              <w:spacing w:after="0"/>
              <w:rPr>
                <w:sz w:val="14"/>
                <w:szCs w:val="14"/>
                <w:color w:val="auto"/>
              </w:rPr>
            </w:pPr>
          </w:p>
        </w:tc>
        <w:tc>
          <w:tcPr>
            <w:tcW w:w="440" w:type="dxa"/>
            <w:vAlign w:val="bottom"/>
            <w:gridSpan w:val="5"/>
          </w:tcPr>
          <w:p>
            <w:pPr>
              <w:jc w:val="right"/>
              <w:ind w:right="100"/>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PART I</w:t>
            </w:r>
          </w:p>
        </w:tc>
        <w:tc>
          <w:tcPr>
            <w:tcW w:w="5100" w:type="dxa"/>
            <w:vAlign w:val="bottom"/>
            <w:gridSpan w:val="11"/>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1A.</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1B.</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1C.</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81</w:t>
            </w:r>
          </w:p>
        </w:tc>
        <w:tc>
          <w:tcPr>
            <w:tcW w:w="0" w:type="dxa"/>
            <w:vAlign w:val="bottom"/>
          </w:tcPr>
          <w:p>
            <w:pPr>
              <w:spacing w:after="0"/>
              <w:rPr>
                <w:sz w:val="1"/>
                <w:szCs w:val="1"/>
                <w:color w:val="auto"/>
              </w:rPr>
            </w:pPr>
          </w:p>
        </w:tc>
      </w:tr>
      <w:tr>
        <w:trPr>
          <w:trHeight w:val="412"/>
        </w:trPr>
        <w:tc>
          <w:tcPr>
            <w:tcW w:w="6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3"/>
          </w:tcPr>
          <w:p>
            <w:pPr>
              <w:jc w:val="center"/>
              <w:ind w:right="5080"/>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7A.</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94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95</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9A.</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9B.</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9C.</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412"/>
        </w:trPr>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820" w:type="dxa"/>
            <w:vAlign w:val="bottom"/>
            <w:tcBorders>
              <w:top w:val="single" w:sz="8" w:color="0000EE"/>
            </w:tcBorders>
            <w:gridSpan w:val="3"/>
          </w:tcPr>
          <w:p>
            <w:pPr>
              <w:spacing w:after="0"/>
              <w:rPr>
                <w:sz w:val="24"/>
                <w:szCs w:val="24"/>
                <w:color w:val="auto"/>
              </w:rPr>
            </w:pPr>
          </w:p>
        </w:tc>
        <w:tc>
          <w:tcPr>
            <w:tcW w:w="420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10.</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11.</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12.</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13.</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14.</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412"/>
        </w:trPr>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EE"/>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502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15.</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134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EXHIBIT INDEX</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6"/>
              </w:rPr>
              <w:t>135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ITEM 16.</w:t>
            </w:r>
          </w:p>
        </w:tc>
        <w:tc>
          <w:tcPr>
            <w:tcW w:w="800" w:type="dxa"/>
            <w:vAlign w:val="bottom"/>
            <w:gridSpan w:val="4"/>
          </w:tcPr>
          <w:p>
            <w:pPr>
              <w:spacing w:after="0"/>
              <w:rPr>
                <w:sz w:val="24"/>
                <w:szCs w:val="24"/>
                <w:color w:val="auto"/>
              </w:rPr>
            </w:pPr>
          </w:p>
        </w:tc>
        <w:tc>
          <w:tcPr>
            <w:tcW w:w="928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EE"/>
              </w:rPr>
              <w:t>Form 10-K Summary</w:t>
            </w:r>
          </w:p>
        </w:tc>
        <w:tc>
          <w:tcPr>
            <w:tcW w:w="4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0000EE"/>
              </w:rPr>
              <w:t>138</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0000EE"/>
              </w:rPr>
              <w:t>139</w:t>
            </w:r>
          </w:p>
        </w:tc>
        <w:tc>
          <w:tcPr>
            <w:tcW w:w="0" w:type="dxa"/>
            <w:vAlign w:val="bottom"/>
          </w:tcPr>
          <w:p>
            <w:pPr>
              <w:spacing w:after="0"/>
              <w:rPr>
                <w:sz w:val="1"/>
                <w:szCs w:val="1"/>
                <w:color w:val="auto"/>
              </w:rPr>
            </w:pPr>
          </w:p>
        </w:tc>
      </w:tr>
      <w:tr>
        <w:trPr>
          <w:trHeight w:val="595"/>
        </w:trPr>
        <w:tc>
          <w:tcPr>
            <w:tcW w:w="6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(this "Annual Report") for the year ended December 31, 2025, contains forward-looking statements within the meaning of Section 27A of the Securities Act of 1933, as amended (the “Securities Act”) and Section 21E of the Securities Exchange Act of 1934, as amended (the “Exchange Act”), which are subject to the “safe harbor” created by those sections, concerning our business, operations, and financial performance and condition as well as our plans, objectives, and expectations for business operations and financial performance and condition. Any statements contained herein that are not of historical facts may be deemed to be forward-looking statements. You can identify these statements by words such as “anticipate,” “assume,” “believe,” “could,” “estimate,” “expect,” “intend,” “may,” “plan,” “should,” “will,” “would,” and other similar expressions that are predictions of or 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Annual Report may turn out to be inaccurate. Factors that could materially affect our business operations and financial performance and condition include, but are not limited to, those risks and uncertainties described herein under “Item 1A - Risk Factors.” You are urged to consider these factors carefully in evaluating the forward-looking statements and are cautioned not to place undue reliance on the forward-looking statements. The forward-looking statements are based on information available to us as of the filing date of this Annual Report. Unless required by law, we do not intend to publicly update or revise any forward-looking statements to reflect new information or future events or otherwise. You should, however, review the factors and risks we describe in the reports we will file from time to time with the Securities and Exchange Commission (the “SEC”) after the date of this Annual Report.</w:t>
      </w:r>
    </w:p>
    <w:p>
      <w:pPr>
        <w:spacing w:after="0" w:line="19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This Annual Report also contains market data related to our business and industry. These market data include projections that are based on a number of assumptions. If these assumptions turn out to be incorrect, actual results may differ from the projections based on these assumptions. As a result, our markets may not grow at the rates projected by these data, or at all. The failure of these markets to grow at these projected rates may harm our business, results of operations, financial condition and the market price of our common stock. See our </w:t>
      </w:r>
      <w:r>
        <w:rPr>
          <w:rFonts w:ascii="Times New Roman" w:cs="Times New Roman" w:eastAsia="Times New Roman" w:hAnsi="Times New Roman"/>
          <w:sz w:val="18"/>
          <w:szCs w:val="18"/>
          <w:u w:val="single" w:color="auto"/>
          <w:color w:val="0000EE"/>
        </w:rPr>
        <w:t>Summary of Risk Factors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Vaxart Biosciences, Inc. was originally incorporated in California under the name West Coast Biologicals, Inc. in March 2004 and changed its name to Vaxart, Inc. (“Private Vaxart”) in July 2007, when it reincorporated in the state of Delaware.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 Unless otherwise indicated, all references to “Vaxart,” “we,” “us,” “our” or the “Company” in this Annual Report mean Vaxart, Inc., the combined company.</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a clinical-stage biotechnology company primarily focused on the development of oral recombinant vaccines based on our Vector-Adjuvant-Antigen Standardized Technology (“VAAST”) proprietary oral vaccine platform.</w:t>
      </w:r>
    </w:p>
    <w:p>
      <w:pPr>
        <w:spacing w:after="0" w:line="162"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oral tablet vaccine candidates offer important advantages: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 they are designed to generate broad and durable immune responses, including systemic, mucosal and T cell responses, which may enhance protection against certain infectious diseases, such as norovirus, COVID-19 and influenza, and may have potential clinical benefit for certain cancers and chronic viral infections, such as those caused by HPV.</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Second, our tablet vaccine candidates are designed to provide a more efficient and convenient method of administration, enhance patient acceptance and reduce distribution bottlenecks, which we believe will improve the effectiveness of vaccination campaigns.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Tablet Vaccine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technology employs a vector-based approach and consists of the following components:</w:t>
      </w:r>
    </w:p>
    <w:p>
      <w:pPr>
        <w:spacing w:after="0" w:line="225" w:lineRule="exact"/>
        <w:rPr>
          <w:sz w:val="20"/>
          <w:szCs w:val="20"/>
          <w:color w:val="auto"/>
        </w:rPr>
      </w:pPr>
    </w:p>
    <w:p>
      <w:pPr>
        <w:ind w:left="660" w:right="2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vector, which is a virus used as a carrier to deliver DNA coding for vaccine antigens and an adjuvant selected to activate the immune system. Specifically, we use non-replicating adenovirus type 5 (“Ad5”), which delivers the DNA encoding both the antigen and adjuvant to the cells of the small intestine, where the antigen and adjuvant are co-expressed. Over 200 clinical trials conducted by others have used Ad5 for a wide range of applications, and we believe that using the same adenovirus in our tablet vaccine candidates may reduce regulatory risk because it is known to regulatory authorities.</w:t>
      </w:r>
    </w:p>
    <w:p>
      <w:pPr>
        <w:spacing w:after="0" w:line="18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antigen, which is a viral or bacterial protein that stimulates an immune response to the targeted pathogen. Our antigens are encoded in the Ad5 DNA rather than being directly included in the vaccine. We use a different antigen for each of our clinical vaccine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adjuvant, which is a substance that enhances the immune-stimulating properties of the vaccine. We use a short section of double-stranded RNA (“dsRNA”) encoded in the Ad5 DNA as an adjuvant. dsRNA is a Toll-like receptor 3 (“TLR3”) agonist and is recognized by the innate immune system as a signal of a viral infection and thereby triggering it to mount an immune response in defense.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enteric-coated tablet, which is designed to deliver the Ad5 vector to the small intestine.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Our Tablet Vaccine Candidates Work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tablets are designed to deliver vaccines to the small intestine. The tablets are covered with a protective coating that remains intact in the low-pH environment of the stomach and protects the active ingredient contained in the tablet core from degradation in the stomach. The coating is designed to dissolve in the neutral-pH environment of the small intestine. The tablets disintegrate, and the vaccine is released into the small intestine where it can reach and enter the mucosal cells lining the intestine. Once inside the mucosal cells, the Ad5 vector instructs the cells to manufacture antigen protein and adjuvant. The adjuvant is always produced within the exact same intestinal cells that also produce the antigen, so that no excess adjuvant is produced, resulting in enhanced safety. Importantly, the production of antigens in our approach closely mimics the process of actual infection by a pathogenic virus. In addition, we believe that delivering the replication-incompetent Ad5-vectored vaccine via tablet directly to the gut avoids neutralization by systemic immunity.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Significance of Mucosal Immunity and T Cell Responses</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immune system has developed defenses against pathogens by creating special classes of immune effectors, such as mucosal antibodies directed to wet surfaces and killer T cells that can kill pathogen-infected cells. Most vaccines available today have been developed primarily to elicit blood circulating, or systemic B cell responses, such as serum antibodies. However, there remain many infections, such as norovirus, for which no approved or marketed vaccines exist. These infections and other pathogens may need greater immune responses outside of serum antibodies. These infections largely evade the serum antibody immune response because the pathogen can infect cells that line the mucosal membranes without coming into direct contact with blood.</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One of the key benefits of our technology is delivery to the gastrointestinal tract, enabling the vaccine to directly enter the mucosal surface of the intestine and activate the immune system of the gut. Mucosal vaccine delivery is believed to enhance protection against mucosal pathogens by generating immunity at the surface where such pathogens invade. Our tablet vaccine candidates target the mucosal immune cells with a vector-based approach and are designed to create a more potent cytotoxic T cell response and mucosal antibody response, which may provide more effective immunity for certain diseases. Further, we have demonstrated that our vaccine delivered to the intestine can produce mucosal responses at sites distal to the intestine such as the nose and the mouth.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Non-Replicating Ad5 Vector is Designed to Circumvent Anti-Vector Issues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Injected Ad5 vectored vaccines generate strong anti-Ad5 responses, with up to a 100-fold increase in the anti-Ad5 neutralizing antibody titers. In contrast, our oral Ad5 vectored vaccine is designed to circumvent the complications related to anti-Ad5 immunity, allowing the platform to be used for multiple vaccines and repeat annual and booster vaccinations.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status of our oral vaccine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357495" cy="2288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5749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Norovirus Program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Norovirus is the leading cause of vomiting and diarrhea from acute gastroenteritis among people of all ages in the U.S. Each year, on average, norovirus causes 19 to 21 million cases of acute gastroenteritis and contributes to 109,000 hospitalizations and 900 deaths, mostly among young children and older adults. In the U.S., we believe a norovirus vaccine would be beneficial for high-risk groups such as infants and children up to five years old, older adults and the elderly, as well as for workers in the food and travel industries, for healthcare, childcare and elder care workers, first responders, the military, and travelers. In a study published by Johns Hopkins University and the Centers for Disease Control and Prevention (“CDC”) in 2016, the total global annual economic burden of norovirus was estimated at $60 billion. In a more recent health economic study published in the Journal of Infectious Diseases in July 2020, the economic impact to the U.S. was estimated to be $10.6 billion annually. There are currently no approved vaccines or therapies to prevent or treat norovirus infection.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Norovirus Vaccine Candidate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developing a VP1-based bivalent oral tablet vaccine candidate that would protect against norovirus GI and norovirus GII, the two major norovirus genogroups affecting humans, by targeting the norovirus GI.1 Norwalk strain and the norovirus GII.4 Sydney strain. Because norovirus is an enteric pathogen that infects epithelial cells of the small intestine, we believe that a vaccine that produces antibodies against norovirus locally in the intestine, such as our tablet vaccine candidate which is delivered directly to the gut, may induce optimal protection against infection.</w:t>
      </w:r>
    </w:p>
    <w:p>
      <w:pPr>
        <w:spacing w:after="0" w:line="18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In September 2023, we announced that our Phase 2 GI.1 norovirus challenge study evaluating the safety, immunogenicity, and clinical efficacy of the GI.1 component of our first-generation bivalent norovirus vaccine candidate met five of six primary endpoints based on preliminary topline data. The study achieved its primary endpoints of a statistically significant 29% relative reduction in the rate of norovirus infection between the vaccinated and placebo arms, a strong induction of norovirus-specific immunoglobulin A (IgA) and immunoglobulin G (IgG) antibodies, and other immune response endpoints.</w:t>
      </w:r>
    </w:p>
    <w:p>
      <w:pPr>
        <w:spacing w:after="0" w:line="16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Vaccination also led to a 21% relative reduction in norovirus acute gastroenteritis in the vaccine arm compared to placebo, but this was not statistically significant. In prespecified analyses, the study also showed an 85% relative decrease in viral shedding in the vaccine arm compared with placebo and no statistically significant difference in disease severity in the vaccinated cohort compared with placebo. The vaccine candidate was also safe and well tolerated with no vaccine-related serious adverse events.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Based on our norovirus clinical data findings to date, our norovirus oral vaccination induces mucosal and systemic immune responses. Norovirus oral vaccination reduced shedding and infection in a rigorous human challenge model. Based on our machine learning and evaluation of more than 13 different immune parameters, norovirus vaccination protection most tightly associates with making a functional antibody response to norovirus in the serum (“NBAA”) and norovirus specific fecal IgA antibodies. Because of the strong induction of mucosal IgA due to the oral vaccination and potential read through into the serum, we believe that this likely means that a functional fecal IgA response is probably critical for protection against norovirus infection.</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second half of 2024, we received constructive feedback from the U.S. Food and Drug Administration (“FDA”) on our data for potential correlates of protection and next steps for our norovirus program. While we believe we have identified a functional antibody response that may be associated with protection for norovirus, the FDA requested new clinical data before proceeding with further review of our potential correlate.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2024, we also created new, second-generation norovirus GI.1 and GII.4 constructs. In preclinical studies, the second-generation norovirus GI.1 and GII.4 constructs appear to be more potent than the first-generation norovirus constructs we previously evaluated in clinical trials. Our expectation is that these second-generation norovirus constructs would also be more potent in humans.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With advice from advisors and infectious disease experts, we decided to proceed with a Phase 1, open label, dose ranging clinical trial evaluating our second-generation oral norovirus vaccine constructs head-to-head against our first-generation constructs. The trial measured safety and immunogenicity, including immune parameters that have correlated to protection in our Phase 2 GI.1 norovirus challenge study.</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June 2025, we reported positive topline results from the Phase 1 clinical trial (Study VXA-109) evaluating our second-generation bivalent norovirus vaccine constructs head-to-head against our first-generation bivalent norovirus vaccine constructs. The open-label, Phase 1 trial was conducted in 60 healthy volunteers who were randomized to receive the first-generation vaccine constructs, an equivalent dose of the second-generation GI.1 and GII.4 vaccine constructs, or a lower dose of the second-generation vaccine constructs (n=20 for each group). The primary immunological endpoint was norovirus blocking antibody assay (NBAA) titer at Day 0 and Day 28. In a Phase 2 challenge study of the first-generation vaccine constructs, these functional NBAA titers were identified as correlates of protection against norovirus infection. Although the study was not powered to determine superiority by statistical methods, the increase in NBAA titers with the second-generation vaccine candidates was sufficiently large (141% for the GI.1 vaccine candidate and 94% for the GII.4 vaccine candidate) to demonstrate statistical significance at the equivalent dose. Further support for the second-generation bivalent norovirus vaccine was provided by the fecal IgA data from the VXA-109 Study. The data showed a 25-fold increase in the GII.4 fecal IgA response and a 10-fold increase in the GI.1 fecal IgA response over baseline with the high dose of the second-generation vaccine candidates after a single tablet administration for each strain. The data also showed an 8-fold increase in the GII.4 fecal IgA response and a 7-fold increase in the GI.1 fecal IgA response over baseline with the low dose of the second-generation vaccine candidates after a single tablet administration for each strain. While the Phase 1 study was not powered to determine superiority by statistical methods, the fecal IgA increases observed with the second-generation constructs compared favorably to the increases observed with the first-generation constructs at the same high dose level and in the same study (13-fold GII.4 and 6-fold GI.1 over baseline).</w:t>
      </w:r>
    </w:p>
    <w:p>
      <w:pPr>
        <w:spacing w:after="0" w:line="19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Following the successful outcome of the VXA-109 trial, the next step, pending a partnership or other funding, would be to advance the program to the next stage of clinical development in 2026.</w:t>
      </w:r>
    </w:p>
    <w:p>
      <w:pPr>
        <w:spacing w:after="0" w:line="1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Pediatric Population</w:t>
      </w:r>
      <w:r>
        <w:rPr>
          <w:rFonts w:ascii="Times New Roman" w:cs="Times New Roman" w:eastAsia="Times New Roman" w:hAnsi="Times New Roman"/>
          <w:sz w:val="18"/>
          <w:szCs w:val="18"/>
          <w:color w:val="auto"/>
        </w:rPr>
        <w:t>. Our current tablet vaccine formulation is designed for delivery to the gut in solid dosage form using an enteric-coated tablet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is the optimal vaccine delivery system for the adult population and children eight years and older. For children six months to seven years in age, we plan to develop minitablet formulations that can deliver the vectored vaccine intact to the gut. Development of our norovirus vaccine in the pediatric population will proceed with a stepdown approach through progressively younger age segments (i.e. 8 to 5 years, 4 to 2 years, 2 years to 6 months).</w:t>
      </w:r>
    </w:p>
    <w:p>
      <w:pPr>
        <w:spacing w:after="0" w:line="17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Breastfeeding Mothers. </w:t>
      </w:r>
      <w:r>
        <w:rPr>
          <w:rFonts w:ascii="Times New Roman" w:cs="Times New Roman" w:eastAsia="Times New Roman" w:hAnsi="Times New Roman"/>
          <w:sz w:val="18"/>
          <w:szCs w:val="18"/>
          <w:color w:val="auto"/>
        </w:rPr>
        <w:t>In December 2024, we completed a Phase 1 norovirus bivalent vaccine candidate study in partnership with the Bill &amp; Melinda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Gates Foundation. The study enrolled 76 healthy, lactating post-partum, women volunteers, to determine the impact of our norovirus vaccine on breast milk norovirus-specific IgA and its potential presence, post-breastfeeding, within infant fecal samples. The study was a randomized, double-blinded, and placebo controlled study to evaluate the safety, tolerability, and immunogenicity of the placebo cohorts and two vaccine cohorts: medium dose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and high dose (2×10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Passive transfer of antibodies from mother to infant that are induced in milk may protect breastfeeding infants from infectious pathogens. We initiated this study in the fourth quarter of 2023 and announced positive top line results in April 2024. Top line results showed antibodies rose in lactating mothers who received the high dose of our bivalent vaccine candidate. Specifically, serum antibodies to norovirus rose on average 5.6 fold in response to the GI.1 virus strain and 4.4 fold in response to the GII.4 virus strain and breast milk antibodies to norovirus rose on average 4.0 fold in response to the GI.1 virus strain and 6.0 fold in response to the GII.4 virus strain. The vaccine was well tolerated with no vaccine-related serious adverse events and no dose-limiting pharmacotoxicity. Infant stool samples contained antibodies to norovirus that correlated with levels in the paired mother’s breast milk, suggesting efficient passive transfer occurred. As a grant recipient from the Bill &amp; Melinda Gates Foundation, Vaxart has agreed to a global access commitment for use of its bivalent norovirus vaccine candidate, if proven effective and approved, in breastfeeding mothers from low- and middle-income countries.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COVID-19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Coronaviruses comprise a group of respiratory viruses, encompassing SARS-CoV-1, SARS-CoV-2, and Middle East respiratory syndrome coronavirus (MERS-CoV), among various others. SARS-CoV-2, the virus responsible for COVID-19, induces a severe respiratory tract infection and stands as a significant cause of hospitalization and mortality globally. Currently approved COVID-19 vaccines seem to have varying levels of efficacy to emerging strains of SARS-CoV-2.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COVID-19 Vaccine Candidates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spent significant effort developing COVID-19 vaccine candidates over the past few years. One of our first COVID-19 vaccine candidates (rAd-S, known as Vaxart clinical candidate VXA-CoV2-1.1-S) expressed only the spike (“S”) protein from the SARS-CoV-2 Wuhan strain. In September 2022, we announced the results from the first part of a two-part Phase 2 clinical study evaluating the safety and immunogenicity of VXA-CoV2-1.1-S met both its primary and secondary endpoints based on topline data. VXA-CoV2-1.1-S was able to boost the serum antibody responses for volunteers that previously received an mRNA vaccine (either Pfizer/BioNTech or Moderna). Serum neutralizing antibody responses to SARS-CoV-2 (Wuhan), a recognized correlate of protection, were boosted in this population from a geometric mean of 481 to 778, a fold rise of 1.6. Volunteers that had lower starting titers had larger increases than subjects that had higher titers. There were also substantial increases in the neutralizing antibody responses to the SARS-CoV-2 Omicron BA4/5 in these volunteers as measured by sVNT assay. Increases in the mucosal IgA antibody responses (antibodies in the nose and mouth) were observed in approximately 50% of subjects. Subjects that had an increase in the mucosal IgA response to SARS-CoV-2 Wuhan S had an increase in IgA responses to other coronaviruses including SARS-CoV-2 Omicron BA4/5, SARS-CoV-1, and MERS-CoV, demonstrating the cross-reactive nature of these immune readouts. We are not proceeding with the second part of the study.</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also made a COVID-19 vaccine candidate that expresses only the S protein from the SARS-CoV-2 XBB strain as well as a COVID-19 vaccine candidate that expresses the S protein from the SARS-CoV-2 KP.2 strain. Based on preclinical data, our XBB COVID-19 vaccine candidate is more potent than our prior COVID-19 vaccine constructs.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2024, we were awarded a contract by the U.S. Biomedical Advanced Research and Development Authority (“BARDA”), a division of the Administration for Strategic Preparedness and Response (“ASPR”) within the U.S. Department of Health and Human Services (“HHS”), for $9.3 million to fund preparation for a Phase 2b clinical study involving 10,000 patients. Vaxart executed on the deliverables and received all $9.3 million of cash payments related to this contract in 2024. BARDA and Vaxart have closed out this contract.</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June 2024, we entered into an agreement (as modified or amended from time to time, the “2024 ATI-RRPV Contract”) with Advanced Technology International (“ATI”), the Rapid Response Partnership Vehicle’s Consortium Management Firm funded by BARDA. Under the 2024 ATI-RRPV Contract, we may receive up to $460.7 million to conduct the Phase 2b study, manufacture a COVID-19 vaccine candidate targeting the KP.2 strain, and acquire an approved mRNA vaccine targeting the KP.2 strain. However, funding has been released incrementally based on modifications to the 2024 ATI-RRPV Contract as certain milestones are attained. Pursuant to Modification No. 6 to the 2024 ATI-RRPV Contract, dated March 10, 2026, the total amount of funding available for payment under the 2024 ATI-RRPV Contract is approximately $316.0 million.</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Phase 2b study is a double-blind, multi-center, randomized, comparator-controlled study to determine the relative efficacy, safety, and immunogenicity of Vaxart’s oral pill COVID-19 vaccine candidate against an approved mRNA COVID-19 injectable vaccine in adults previously immunized against COVID-19 infection. The study design anticipates enrolling approximately 10,400 healthy adults 18 years and older in the U.S. with approximately 5,200 receiving our COVID-19 vaccine candidate and approximately 5,200 receiving an approved mRNA comparator. The study strives to enroll participants in line with U.S. demographics, as well as including at least 25% over the age of 65.</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Phase 2b study will measure comparative efficacy for symptomatic and asymptomatic disease, systemic and mucosal immune induction, and the incidence of adverse events. The primary endpoint is relative efficacy of Vaxart’s COVID-19 vaccine candidate compared to an approved mRNA comparator for the prevention of symptomatic disease. Primary efficacy analysis will be performed when all participants have either discontinued or completed a study visit 12 months post-vaccination.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second half of 2024, we initiated and completed enrollment of the sentinel cohort of the Phase 2b study consisting of 400 participants comparing our XBB COVID-19 vaccine candidate against an approved mRNA XBB comparator. In January 2025, an independent data safety monitoring board (“DSMB”) recommended the study to proceed without modifications based on initial safety assessment of 30-day data from the sentinel cohort. Additional data regarding the 12-month follow-up for these 400 individuals is anticipated to be shared in the [first half of 2026].</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2025, we received written notification from ATI in the form of a stop work order (the “February 2025 SWO”) directing the Company to stop work on the 2024 ATI-RRPV Contract, with the exception that we could continue efforts associated with the per protocol follow-up for the 400-participant sentinel cohort. The February 2025 SWO was to be in effect for a period of 90 days. Subsequently, in April 2025, the Company received written notification from ATI in the form of a stop work order lift (the “Lift Notice”) that the February 2025 SWO had been lifted and that the Company may resume incurring costs, participating in meetings, and communicating with the Government and ATI concerning the project award.</w:t>
      </w:r>
    </w:p>
    <w:p>
      <w:pPr>
        <w:spacing w:after="0" w:line="183"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In May 2025, following additional discussion between the Company and HHS BARDA regarding costs, timelines, and regulatory pathway, we received approval from HHS BARDA to initiate dosing. We subsequently proceeded to dose patients in the 10,000-participant portion of the Phase 2b clinical study.</w:t>
      </w:r>
    </w:p>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August 2025, the Company received written notification from ATI in the form of a second stop work order (the “August 2025 SWO”) directing the Company to stop work on screening and enrollment for the 10,000-person cohort of the Phase 2b clinical study. The Company was, however, permitted to continue efforts associated with the per protocol follow-up to the extent study participants were already dosed. As of the notification date, the Company had enrolled approximately half of the targeted number of participants for the study.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8, 2025, the Company received another notice (the “Follow-Up Notice”) from ATI, clarifying the scope of the August 2025 SWO and therefore the 2024 ATI-RRPV Contract. The Follow-Up Notice definitively confirmed that BARDA intends to stop all ongoing enrollment under the 2024 ATI-RRPV Contract but allows efforts in support of participants already enrolled in the study, who will continue to be followed, including planned analyses of the sentinel cohort as well as the enrolled main study population.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10, 2026, the Company entered into Modification No. 6 to the 2024 ATI-RRPV Contract. Pursuant to Modification No. 6 to the 2024 ATI-RRPV Contract, pursuant to which the total amount of funding available for payment under the 2024 ATI-RRPV Contract was increased to $316.0 million. The Company anticipates a further modification to the 2024 ATI-RRPV Contract that will reflect the reduced scope of work and corresponding reduction in funding that resulted from previously issued stop work orders.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the filing date of this Annual Report on Form 10-K, we anticipate that the Phase 2b study, which enrolled healthy adults 18 years and older in the U.S. with 400 participants from the sentinel cohort and approximately 5,000 participants enrolled from the main cohort as of our receipt of the August 2025 SWO, will continue to collect participant data over a 12 month period post-vaccination and will continue to be funded under the 2024 ATI-RRPV Contract. Out of the approximately 5,400 total participants, we expect approximately 2,700 to have received our COVID-19 vaccine candidate and approximately 2,700 to have received an approved strain-matched mRNA comparator. Primary efficacy analysis will be performed when all participants have either discontinued or completed a study visit 12 months post-vaccination.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Influenza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Influenza is one of the most common global infectious diseases, causing mild to life-threatening illness with symptoms such as sore throat, nasal discharge, fever, and even death. It is estimated that there are around one billion cases of seasonal influenza annually worldwide, of which 3 million to 5 million cases are considered severe, causing 290,000 to 650,000 deaths per year globally. Very young children and the elderly are at greatest risk from death. In the U.S., between 9,000,000 and 41,000,000 people catch influenza annually, between 140,000 and 710,000 people are hospitalized with complications of influenza, and between 12,000 and 52,000 people die from influenza and its complications each year.</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CDC generally recommends that individuals six months and older be vaccinated annually against influenza. In the U.S., this means an influenza vaccination is recommended for more than 300 million people.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Seasonal Influenza Vaccine Candidate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developing a tablet vaccine candidate for the immunization of healthy adults against seasonal influenza. Commercial seasonal influenza vaccines today are composed of either three (trivalent) or four (quadrivalent) strains, either one influenza B and two influenza A strains, or two of each. Our seasonal influenza vaccine candidate is a trivalent seasonal influenza vaccine consisting of two circulating influenza A lineage viruses (H1N1 and H3N2) as well as one circulating influenza B lineage virus (B/Victoria lineage), matching the seasonally updated recommendations by the World Health Organization. We envision formulating our tablet vaccine candidate as one tablet per strain, or three tablets in total for the trivalent vaccine. We believe this modularity will allow for enhanced flexibility. For instance, in the event of a late season strain change, the tablet containing the obsolete strain could be easily replaced without having to discard the two correctly matched vaccine tablets. We will also consider formulating all three strains into a single tablet. This format would be the simplest to administer but would take away some of the flexibility advantages that separate tablets would afford. We will assess the final formulation of our tablet vaccine candidates after conducting market studies to evaluate market acceptance closer to commercialization.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Influenza Clinical Trials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completed two Phase 1 trials and have conducted the active portion of a Phase 2 challenge trial of our H1N1 influenza vaccine candidate.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completed a Phase 1 trial of an influenza B vaccine candidate (B Yamagata lineage).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H1N1 Influenza Phase 2 Challenge Study Funded by HHS BARDA</w:t>
      </w:r>
    </w:p>
    <w:p>
      <w:pPr>
        <w:spacing w:after="0" w:line="229"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In 2015, we were awarded a $13.9 million contract by BARDA, part of the HHS. This two-year contract was awarded under a Broad Agency Announcement issued to support the advanced development of more effective influenza vaccines to improve seasonal and pandemic influenza preparedness. The contract primarily funded a Phase 2 challenge study in human volunteers, designed to evaluate whether our H1N1 tablet vaccine candidate offers broader and more durable protection than currently marketed injectable vaccines. The contract with HHS BARDA was subsequently increased to $15.7 million and the term was extended until September 2018.</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this Phase 2 study, volunteers were randomized into three groups. One group received our oral H1N1 influenza tablet vaccine candidate, a second group received a commercially licensed inactivated influenza vaccine by intramuscular injection, and a third group received placebo. Three months following immunization, volunteers were challenged (deliberate experimental administration) with live H1N1 (A/H1N1 pdm09) influenza virus by intranasal administration. The placebo group served as the control group to determine how many unvaccinated volunteers became infected and how severe their influenza symptoms became. Data from our vaccine candidate group and the commercially licensed inactivated vaccine group were compared to placebo to determine each vaccine’s efficacy in this challenge study. Importantly, the two vaccines were also compared head-to-head. The goal of the study was to compare the efficacy of our vaccine to protect volunteers from illness caused by H1N1 influenza challenge, compared to both the injectable vaccine and placebo three months after immunization.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Results VXA-CHAL-201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Phase 2 challenge study was enrolled during 2016 and 2017. During this time, 179 subjects that cleared the screening requirements were randomized to receive a single dose of our tablet vaccine, the commercial injectable vaccine, or placebo. Of these 179 subjects, 143 subjects were subsequently challenged with live H1N1 influenza virus 90 to 120 days after dosing.</w:t>
      </w:r>
    </w:p>
    <w:p>
      <w:pPr>
        <w:spacing w:after="0" w:line="172" w:lineRule="exact"/>
        <w:rPr>
          <w:sz w:val="20"/>
          <w:szCs w:val="20"/>
          <w:color w:val="auto"/>
        </w:rPr>
      </w:pPr>
    </w:p>
    <w:p>
      <w:pPr>
        <w:ind w:left="660" w:right="1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Safety. </w:t>
      </w:r>
      <w:r>
        <w:rPr>
          <w:rFonts w:ascii="Times New Roman" w:cs="Times New Roman" w:eastAsia="Times New Roman" w:hAnsi="Times New Roman"/>
          <w:sz w:val="18"/>
          <w:szCs w:val="18"/>
          <w:color w:val="auto"/>
        </w:rPr>
        <w:t>The side effects of the vaccines and placebo in the first seven days following administration were generally mild. In the first seven days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administration, the solicited adverse events reported in the vaccine and placebo groups were mostly grade 1 in severity, and none were above grade 2. The most frequent solicited adverse event was headache in our tablet vaccine group (7%), injection site tenderness in the commercially licensed inactivated vaccine group (26%) and headache in the placebo group (19%). There were no serious adverse events and no new onsets of chronic illnesses related to our vaccine adjuvant recorded during the follow up period of the study.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Efficacy – Reduction of PCR Confirmed Influenza Illness.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primary efficacy objective was to determine vaccine efficacy of our tablet vaccine following the challenge with the wild-type influenza A H1 virus strain (A/H1N1 pdm09). The primary efficacy endpoint was illness. The illness rate was 29% for our tablet vaccine, 35% for the commercial inactivated influenza vaccine, and 48% for subjects in the placebo group. Our tablet vaccine had a lower rate of illness than the commercial vaccine (-6% difference in illness rate in favor of our vaccine), although given the small size of the study, these differences were not statistically significant. Similarly, the difference in illness rates between our tablet vaccine and placebo (-19.1%) and the commercial injected vaccine and placebo (-13.2%) trended toward protection but were not statistically significant. These results suggest that our vaccine is no worse, and trended better than the commercial vaccine for protection. These results are summarized in Table 2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Table 2. </w:t>
      </w:r>
      <w:r>
        <w:rPr>
          <w:rFonts w:ascii="Times New Roman" w:cs="Times New Roman" w:eastAsia="Times New Roman" w:hAnsi="Times New Roman"/>
          <w:sz w:val="18"/>
          <w:szCs w:val="18"/>
          <w:color w:val="auto"/>
        </w:rPr>
        <w:t>H1 Influenza Phase 2 Challenge Study: Illness Rates*.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60" w:type="dxa"/>
            <w:vAlign w:val="bottom"/>
            <w:tcBorders>
              <w:top w:val="single" w:sz="8" w:color="auto"/>
              <w:left w:val="single" w:sz="8" w:color="auto"/>
              <w:bottom w:val="single" w:sz="8" w:color="auto"/>
              <w:right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auto"/>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VAXART</w:t>
            </w:r>
          </w:p>
        </w:tc>
        <w:tc>
          <w:tcPr>
            <w:tcW w:w="62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VAXART-Commercial</w:t>
            </w:r>
          </w:p>
        </w:tc>
        <w:tc>
          <w:tcPr>
            <w:tcW w:w="34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Placebo</w:t>
            </w:r>
          </w:p>
        </w:tc>
      </w:tr>
      <w:tr>
        <w:trPr>
          <w:trHeight w:val="193"/>
        </w:trPr>
        <w:tc>
          <w:tcPr>
            <w:tcW w:w="5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88"/>
              </w:rPr>
              <w:t>n</w:t>
            </w:r>
          </w:p>
        </w:tc>
        <w:tc>
          <w:tcPr>
            <w:tcW w:w="7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(95% CI)</w:t>
            </w:r>
          </w:p>
        </w:tc>
        <w:tc>
          <w:tcPr>
            <w:tcW w:w="6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w:t>
            </w:r>
          </w:p>
        </w:tc>
        <w:tc>
          <w:tcPr>
            <w:tcW w:w="5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(95% CI)</w:t>
            </w:r>
          </w:p>
        </w:tc>
        <w:tc>
          <w:tcPr>
            <w:tcW w:w="20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Rate Difference (95% CI)</w:t>
            </w:r>
          </w:p>
        </w:tc>
        <w:tc>
          <w:tcPr>
            <w:tcW w:w="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w:t>
            </w:r>
          </w:p>
        </w:tc>
        <w:tc>
          <w:tcPr>
            <w:tcW w:w="5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(95% CI)</w:t>
            </w:r>
          </w:p>
        </w:tc>
      </w:tr>
      <w:tr>
        <w:trPr>
          <w:trHeight w:val="209"/>
        </w:trPr>
        <w:tc>
          <w:tcPr>
            <w:tcW w:w="560" w:type="dxa"/>
            <w:vAlign w:val="bottom"/>
            <w:tcBorders>
              <w:left w:val="single" w:sz="8" w:color="auto"/>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(18.1, 42.7)</w:t>
            </w:r>
          </w:p>
        </w:tc>
        <w:tc>
          <w:tcPr>
            <w:tcW w:w="6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(22.7, 49.4)</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 (-24.3, 12.5)</w:t>
            </w:r>
          </w:p>
        </w:tc>
        <w:tc>
          <w:tcPr>
            <w:tcW w:w="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(30.2, 66.9)</w:t>
            </w:r>
          </w:p>
        </w:tc>
      </w:tr>
    </w:tbl>
    <w:p>
      <w:pPr>
        <w:spacing w:after="0" w:line="196"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*Illness was defined as a combination of symptoms reported on a patient reported outcome tool (Flu-PRO</w:t>
      </w:r>
      <w:r>
        <w:rPr>
          <w:rFonts w:ascii="Times New Roman" w:cs="Times New Roman" w:eastAsia="Times New Roman" w:hAnsi="Times New Roman"/>
          <w:sz w:val="14"/>
          <w:szCs w:val="14"/>
          <w:i w:val="1"/>
          <w:iCs w:val="1"/>
          <w:color w:val="auto"/>
        </w:rPr>
        <w:t>TM</w:t>
      </w:r>
      <w:r>
        <w:rPr>
          <w:rFonts w:ascii="Times New Roman" w:cs="Times New Roman" w:eastAsia="Times New Roman" w:hAnsi="Times New Roman"/>
          <w:sz w:val="18"/>
          <w:szCs w:val="18"/>
          <w:i w:val="1"/>
          <w:iCs w:val="1"/>
          <w:color w:val="auto"/>
        </w:rPr>
        <w:t>) and quantitative reverse transcriptase polymerase chain reaction (qRT-PCR) detectable shed influenza virus.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Efficacy – Shedding</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Shedding represents influenza virus that is detected in nasal swabs post infection and is representative of viral infection and replication. In the study, 44.8% of subjects in VXA-A1.1 had at least one day positive for shedding, versus the commercial injected vaccine where 53.7% were positive for shedding and where 71.0% of placebo subjects were positive for shedding. There were no statistically significant differences observed between our tablet vaccine and the commercial inactivated influenza vaccine for viral shedding area under the curve (“AUC”). However, AUC was calculated using a standard logarithmic trapezoidal method and included only detectable shedding during the first five days of the duration of shedding, with subjects removed from the analysis that didn’t shed influenza for five days (a zero value cannot be used in log calculations and integrated). This may have led to an underestimate of the effect on viral shedding for the two vaccines relative to placebo. Therefore, in order to better determine the effect of the vaccines on shedding, an alternative method was used in which volunteers were defined as infected if they had detectable viral shedding at any time 36 hours after challenge. This approach eliminated possible issues related to calculations (log calculations of zero values) and of large doses of challenge virus (first 36 hours might be pass through rather than replicating influenza). In a Bayesian analysis, both vaccines significantly reduced the probability of shedding relative to placebo (Bayesian posterior p=0.001 for our tablet vaccine and p=0.009 for the commercial inactivated influenza vaccine). There is also trend toward greater efficacy for our vaccine with a posterior probability of approximately 80% (</w:t>
      </w:r>
      <w:r>
        <w:rPr>
          <w:rFonts w:ascii="Times New Roman" w:cs="Times New Roman" w:eastAsia="Times New Roman" w:hAnsi="Times New Roman"/>
          <w:sz w:val="18"/>
          <w:szCs w:val="18"/>
          <w:b w:val="1"/>
          <w:bCs w:val="1"/>
          <w:color w:val="auto"/>
        </w:rPr>
        <w:t>Table 3</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Table 3. </w:t>
      </w:r>
      <w:r>
        <w:rPr>
          <w:rFonts w:ascii="Times New Roman" w:cs="Times New Roman" w:eastAsia="Times New Roman" w:hAnsi="Times New Roman"/>
          <w:sz w:val="18"/>
          <w:szCs w:val="18"/>
          <w:color w:val="auto"/>
        </w:rPr>
        <w:t>H1 Influenza Phase 2 Challenge Study: Infection Rates*.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92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Treatment Arm</w:t>
            </w:r>
          </w:p>
        </w:tc>
        <w:tc>
          <w:tcPr>
            <w:tcW w:w="1260" w:type="dxa"/>
            <w:vAlign w:val="bottom"/>
            <w:tcBorders>
              <w:top w:val="single" w:sz="8" w:color="auto"/>
              <w:bottom w:val="single" w:sz="8" w:color="auto"/>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w:t>
            </w:r>
          </w:p>
        </w:tc>
        <w:tc>
          <w:tcPr>
            <w:tcW w:w="188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Infected</w:t>
            </w:r>
          </w:p>
        </w:tc>
        <w:tc>
          <w:tcPr>
            <w:tcW w:w="190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(95% CI)</w:t>
            </w:r>
          </w:p>
        </w:tc>
        <w:tc>
          <w:tcPr>
            <w:tcW w:w="2020" w:type="dxa"/>
            <w:vAlign w:val="bottom"/>
            <w:tcBorders>
              <w:top w:val="single" w:sz="8" w:color="auto"/>
              <w:bottom w:val="single" w:sz="8" w:color="auto"/>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Posterior P</w:t>
            </w:r>
          </w:p>
        </w:tc>
      </w:tr>
      <w:tr>
        <w:trPr>
          <w:trHeight w:val="193"/>
        </w:trPr>
        <w:tc>
          <w:tcPr>
            <w:tcW w:w="19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Placebo</w:t>
            </w:r>
          </w:p>
        </w:tc>
        <w:tc>
          <w:tcPr>
            <w:tcW w:w="1260" w:type="dxa"/>
            <w:vAlign w:val="bottom"/>
            <w:tcBorders>
              <w:bottom w:val="single" w:sz="8" w:color="auto"/>
              <w:right w:val="single" w:sz="8" w:color="auto"/>
            </w:tcBorders>
          </w:tcPr>
          <w:p>
            <w:pPr>
              <w:ind w:left="520"/>
              <w:spacing w:after="0" w:line="193" w:lineRule="exact"/>
              <w:rPr>
                <w:sz w:val="20"/>
                <w:szCs w:val="20"/>
                <w:color w:val="auto"/>
              </w:rPr>
            </w:pPr>
            <w:r>
              <w:rPr>
                <w:rFonts w:ascii="Times New Roman" w:cs="Times New Roman" w:eastAsia="Times New Roman" w:hAnsi="Times New Roman"/>
                <w:sz w:val="18"/>
                <w:szCs w:val="18"/>
                <w:color w:val="auto"/>
              </w:rPr>
              <w:t>31</w:t>
            </w:r>
          </w:p>
        </w:tc>
        <w:tc>
          <w:tcPr>
            <w:tcW w:w="18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22</w:t>
            </w:r>
          </w:p>
        </w:tc>
        <w:tc>
          <w:tcPr>
            <w:tcW w:w="19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71% (55-85%)</w:t>
            </w:r>
          </w:p>
        </w:tc>
        <w:tc>
          <w:tcPr>
            <w:tcW w:w="20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Commercial</w:t>
            </w:r>
          </w:p>
        </w:tc>
        <w:tc>
          <w:tcPr>
            <w:tcW w:w="126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54</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 (32-58%)</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0.009</w:t>
            </w:r>
          </w:p>
        </w:tc>
      </w:tr>
      <w:tr>
        <w:trPr>
          <w:trHeight w:val="210"/>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Vaxart Vaccine</w:t>
            </w:r>
          </w:p>
        </w:tc>
        <w:tc>
          <w:tcPr>
            <w:tcW w:w="126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58</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 (24-49%)</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0.001</w:t>
            </w:r>
          </w:p>
        </w:tc>
      </w:tr>
    </w:tbl>
    <w:p>
      <w:pPr>
        <w:spacing w:after="0" w:line="196"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*Infection was defined as any positive quantitative reverse transcriptase polymerase chain reaction (qRT-PCR) detectable shed influenza virus on any day after 36 hours from viral challenge. In a Bayesian analysis, both vaccines provide a statistically significant protection against infection. There is also trend toward greater efficacy for our vaccine with a posterior probability of approximately 80%.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Trial. Influenza B (Yamagata lineage)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In 2015 and 2016, we conducted a randomized, double-blind, placebo-controlled Phase 1 trial to test the safety and immunogenicity of an influenza B tablet vaccine. A total of 54 healthy adults aged 18 to 49 were enrolled, with 38 receiving the vaccine and 16 receiving placebo. To participate in this trial, subjects were required to have an initial HAI measure of no greater than 1:20. The active phase of the trial was through day 28, with the follow-up phase for monitoring safety to continue for one year. All subjects who received the vaccine received a single dose of either 1 x 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or 1 x 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on Day 0.</w:t>
      </w:r>
    </w:p>
    <w:p>
      <w:pPr>
        <w:spacing w:after="0" w:line="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w:t>
      </w:r>
      <w:r>
        <w:rPr>
          <w:rFonts w:ascii="Times New Roman" w:cs="Times New Roman" w:eastAsia="Times New Roman" w:hAnsi="Times New Roman"/>
          <w:sz w:val="18"/>
          <w:szCs w:val="18"/>
          <w:color w:val="auto"/>
        </w:rPr>
        <w:t>. The side effects of the vaccine or placebo in the first seven days following administration were generally mild with no serious adverse events. There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no notable differences between the active dose groups and placebo in safety and tolerability.</w:t>
      </w:r>
    </w:p>
    <w:p>
      <w:pPr>
        <w:spacing w:after="0" w:line="155"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HAI</w:t>
      </w:r>
      <w:r>
        <w:rPr>
          <w:rFonts w:ascii="Times New Roman" w:cs="Times New Roman" w:eastAsia="Times New Roman" w:hAnsi="Times New Roman"/>
          <w:sz w:val="18"/>
          <w:szCs w:val="18"/>
          <w:color w:val="auto"/>
        </w:rPr>
        <w:t>. In the placebo group, HAI GMT remained essentially unchanged (1:33) at day 28 post dosing. The GMFR of HAI titers both active treated groups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 28 post dosing was about 2-fold, and independent of dose. For the vaccinated groups receiving either 1×10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or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seroconversion was observed in 5/19 subjects (26.3%) and 3/19 subjects (15.8%), respectively. There were no seroconversions in the placebo group.</w:t>
      </w:r>
    </w:p>
    <w:p>
      <w:pPr>
        <w:spacing w:after="0" w:line="194" w:lineRule="exact"/>
        <w:rPr>
          <w:sz w:val="20"/>
          <w:szCs w:val="20"/>
          <w:color w:val="auto"/>
        </w:rPr>
      </w:pPr>
    </w:p>
    <w:p>
      <w:pPr>
        <w:ind w:right="160"/>
        <w:spacing w:after="0" w:line="20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Antibody Secreting Cells (ASCs). </w:t>
      </w:r>
      <w:r>
        <w:rPr>
          <w:rFonts w:ascii="Times New Roman" w:cs="Times New Roman" w:eastAsia="Times New Roman" w:hAnsi="Times New Roman"/>
          <w:sz w:val="18"/>
          <w:szCs w:val="18"/>
          <w:color w:val="auto"/>
        </w:rPr>
        <w:t>In order to measure total antibody responses to HA, the numbers of circulating B cells that recognize influenza HA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peripheral blood were measured by ASC assay on days 0 and 7 after immunization. Results show that ASCs could be reliably measured on day 7 in the vaccine-treated groups. Background ASCs were generally negligible on day 0. By IgG ASC, 68% of 1×10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dose subjects responded, and 84% of subjects in the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dose group responded. For the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dose vaccine treated group, an average of 21 IgA ASCs (95% CI: 7 – 35) and 73 IgG ASCs (95% CI: 35 – 111) each per 1×10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peripheral blood mononuclear cell (PBMC) were found at day 7. For the 1×10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dose vaccine treated group, an average of 16 IgA ASCs (95% CI: 2 – 29) and 44 IgG ASCs (95% CI: 21 – 66) were found at day 7. The placebo group had no responders, and negligible average number of spots (1 or less) on Day 7 (95% CI: -0.6 – -2).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continue to advance our avian influenza program. We previously published data demonstrating protection in a preclinical model against avian influenza after oral immunization (Clin Vaccine Immunol 2013). In 2025, we completed a preclinical study with a newly created avian influenza vaccine candidate to cover the latest clade 2.3.4.4b H5N1 avian influenza strain. This vaccine candidate was 100% protective against death in a robust ferret clade 2.3.4.4b challenge model, compared with 0% survival in placebo-treated animals. Vaxart intends to publish the results of this preclinical study in a peer-reviewed publication.</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intends to work with governments around the world to create pandemic monovalent influenza vaccines for emergency use or stockpiling, if requested. We are also continuing development of our preclinical seasonal influenza vaccine candidate.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HPV Therapeutic Vaccine Program</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HPV is a family of more than 120 viruses which are extremely common globally. At least 13 HPV types are cancer-causing. HPV is primarily transmitted through sexual contact and infection is very prevalent following the onset of sexual activity. Nearly all cases of cervical cancer are attributable to HPV infection, with two HPV types – HPV-16 and HPV-18 – responsible for 70% of cervical cancers and precancerous cervical lesions. Cervical cancer is the fourth most common cancer in women worldwide, and about 13,000 new cases are diagnosed annually in the U.S. according to the National Cervical Cancer Coalition. Studies have indicated a high lifetime probability of any HPV infection by both men and women in the U.S., with some estimates indicating at least 80% of women and men acquire HPV by age 45. The CDC estimates 80 million U.S. citizens are currently infected with HPV, representing 25% of the population, with about 14 million new infections per year.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women, many HPV infections of the cervix will spontaneously resolve and clear within two to three years, but women who have a persistent infection are at high risk of developing cellular abnormalities known as cervical intraepithelial neoplasia (“CIN”), which can progress to invasive cancer over time. More than 400,000 women are diagnosed with CIN annually in the U.S., with an annual incidence estimate for CIN1 and CIN2/3 at 1.6 and 1.2 per 1,000 women, respectively.</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are currently no approved therapeutic vaccines to treat HPV infection or cancer. Current treatment options for women infected with HPV include monitoring CIN status, surgical procedures to remove affected tissue, and chemotherapeutic or radiation therapies to treat localized or metastatic cervical cancer. Therefore, a medical need remains for a therapeutic vaccine to treat women with HPV-associated CIN and/or cervical cancer.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HPV Therapeutic Vaccine Candidate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in the early stages of developing a bivalent HPV vaccine against HPV-16 and HPV-18, the strains responsible for approximately 70% of cases of cervical cancer. We plan to target the E6 and E7 gene products of each strain, which are the primary oncogenic proteins responsible for progression through the stages of CIN to invasive cervical cancer. In pre-clinical studies, we have demonstrated immunogenicity for both our HPV-16 and our HPV-18 vaccine candidates. Specifically, mice given our HPV-16 or HPV-18 vaccines induced T cell responses to HPV as measured by IFN gamma ELISPOT. In addition, our HPV-16 vaccine has demonstrated tumor growth suppression as well as increased survival in a robust HPV tumor model in mice.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will need to make a regulatory filing to proceed with clinical trials for an HPV vaccine candidate. Our clinical plan is to test the vaccine candidate in subjects with cervical dysplasia related to HPV-16 or HPV-18, and to evaluate the ability of the vaccine candidate to clear HPV infection, reduce the cervical dysplasia score, and induce T cells known to be important in the clearance of HPV. The primary endpoint will be safety and the secondary endpoint will be immunogenicity by examining T cell responses. Although clinical responses will be tracked, it is expected that the first study may not be powered to obtain statistically significant efficacy readouts.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Anti-Virals</w:t>
      </w:r>
    </w:p>
    <w:p>
      <w:pPr>
        <w:spacing w:after="0" w:line="229" w:lineRule="exact"/>
        <w:rPr>
          <w:sz w:val="20"/>
          <w:szCs w:val="20"/>
          <w:color w:val="auto"/>
        </w:rPr>
      </w:pPr>
    </w:p>
    <w:p>
      <w:pPr>
        <w:ind w:left="240" w:right="40" w:hanging="120"/>
        <w:spacing w:after="0" w:line="255" w:lineRule="auto"/>
        <w:rPr>
          <w:sz w:val="20"/>
          <w:szCs w:val="20"/>
          <w:color w:val="auto"/>
        </w:rPr>
      </w:pPr>
      <w:r>
        <w:rPr>
          <w:rFonts w:ascii="Times New Roman" w:cs="Times New Roman" w:eastAsia="Times New Roman" w:hAnsi="Times New Roman"/>
          <w:sz w:val="18"/>
          <w:szCs w:val="18"/>
          <w:color w:val="auto"/>
        </w:rPr>
        <w:t>●Through the 2018 Merger with Aviragen, we acquired two royalty earning products, Relenza and Inavir. We also acquired three Phase 2 clinical stage antiviral compounds, of which we have discontinued independent clinical development. However, for one of these, Vapendavir, we have entered into an exclusive worldwide license agreement with Altesa Biosciences, Inc. (“Altesa”) in July 2021, permitting Altesa to develop and commercialize this capsid-binding broad-spectrum antiviral. In May 2025, Altesa announced positive top line results from its Phase 2 placebo-controlled study examining the effects of Vapendavir in COPD patients challenged with rhinovirus. Altesa subsequently communicated their intention to run a randomized placebo-controlled Phase 2b trial that will enroll 900 COPD patients to examine the safety and efficacy of Vapendavir to treat rhinovirus infections in patients with COPD. In February 2026, Altesa announced a $75 million Series B funding round to support the Phase 2b study.</w:t>
      </w:r>
    </w:p>
    <w:p>
      <w:pPr>
        <w:spacing w:after="0" w:line="189" w:lineRule="exact"/>
        <w:rPr>
          <w:sz w:val="20"/>
          <w:szCs w:val="20"/>
          <w:color w:val="auto"/>
        </w:rPr>
      </w:pPr>
    </w:p>
    <w:p>
      <w:pPr>
        <w:ind w:left="240" w:right="40" w:hanging="120"/>
        <w:spacing w:after="0" w:line="277" w:lineRule="auto"/>
        <w:rPr>
          <w:sz w:val="20"/>
          <w:szCs w:val="20"/>
          <w:color w:val="auto"/>
        </w:rPr>
      </w:pPr>
      <w:r>
        <w:rPr>
          <w:rFonts w:ascii="Times New Roman" w:cs="Times New Roman" w:eastAsia="Times New Roman" w:hAnsi="Times New Roman"/>
          <w:sz w:val="17"/>
          <w:szCs w:val="17"/>
          <w:color w:val="auto"/>
        </w:rPr>
        <w:t>●Relenza and Inavir are antivirals for the treatment of influenza, marketed by GlaxoSmithKline, plc (“GSK”) and Daiichi Sankyo Company, Limited (“Daiichi Sankyo”), respectively. We have earned royalties on the net sales of Relenza and Inavir in Japan. The last patent for Relenza expired in July 2019 and based on information provided by Daiichi Sankyo, the last patent for Inavir expires in August 2036. Sales of these antivirals vary significantly by quarter, because influenza virus activity displays strong seasonal cycles, and by year depending on the intensity and duration of the flu season, the impact COVID-19 has had, and may continue to have, on seasonal influenza, and competition from other antivirals such as Tamiflu and Xofluza.</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Manufacturing our oral tablet vaccines consists of two main stages, the production of bulk vaccine (drug substance), and the formulation and tableting thereof (drug product). Drug substance manufacturing consists primarily of the production and purification of the active ingredient. Bulk drug substance is then lyophilized, formulated and subsequently tableted and coated using a proprietary formulation and tableting process that we developed.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Bulk Vaccine Manufacturing (Drug Substance)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From inception, we relied on a combination of third-party contract manufacturers and in-house facilities to manufacture clinical cGMP bulk drug substance for our tablet vaccine candidates. Starting in 2017, we invested in developing our own bulk vaccine manufacturing process with the aim to establish a small cGMP bulk manufacturing facility at our corporate headquarters in California for manufacturing cGMP product for our Phase 1 and small Phase 2</w:t>
      </w:r>
    </w:p>
    <w:p>
      <w:pPr>
        <w:spacing w:after="0" w:line="1"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trials. We expanded in November 2021 by subleasing another GMP manufacturing facility which we use to perform the same bulk manufacturing processes in-house.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Vaccine Tablet Manufacturing (Drug Product)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inception we contracted with third-party contract manufacturers for the manufacture, labeling, packaging, storage, and distribution of our drug product. In 2016, we established drug product manufacturing capabilities at our corporate headquarters. Our facility is licensed by the State of California Department of Public Health Food and Drug Branch to manufacture drug product for clinical trials. We have also built a new GMP facility in California for tableting, coating and packaging of our vaccine candidates.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limited experience with process development, and the manufacture, testing, quality release, storage and distribution of drug substance and drug product according to cGMP and regulatory filings. The cGMP regulations include requirements relating to the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Our facilities, and our third-party manufacturers, are subject to periodic inspections by FDA and local authorities, which include, but are not limited to procedures and operations used in the testing and manufacture of our vaccine candidates to assess our compliance with applicable regulations. If we or our third-part manufacturers fail to comply with statutory and regulatory requirements we and they could be subject to possible legal or regulatory action, including warning letters, the seizure or recall of products, injunctions, consent decrees placing significant restrictions on or suspending manufacturing operations and civil and criminal penalties. These actions could have a material adverse impact on the availability of our tablet vaccine candidates. Similar to contract manufacturers, we have in the past encountered difficulties involving production yields, quality control and quality assurance, and if we are not able to produce drug product or drug substance in sufficient quantities our ability to conduct our clinical trials and commercialize our tablet vaccine candidates, if approved, will be impaired.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third parties, such as clinical research organizations, medical institutions, clinical investigators and contract laboratories, to conduct our clinical trials and aspects of our research and preclinical testing. These third parties provide project management and monitoring services and regulatory consulting and investigative services.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pharmaceutical and vaccine industries are characterized by intense competition to develop new technologies and proprietary products. In general, competition among pharmaceutical products is based in part on product efficacy, safety, reliability, availability, price and patent position.</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we believe that our proprietary tablet vaccine candidates provide competitive advantages, we face competition from many different sources, including biotechnology and pharmaceutical companies, and we may also face competition from academic institutions, government agencies, as well as public and private research institutions. Any products that we may commercialize will have to compete with existing products and therapies as well as new products and therapies that may become available in the future.</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are other organizations working to improve existing therapies, vaccines or delivery methods, or to develop new vaccines, therapies or delivery methods for their selected indications. Depending on how successful these efforts are, it is possible they may increase the barriers to adoption and success of our vaccine candidates, if approved.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anticipate that we will face intense and increasing competition as new vaccines enter the market and advanced technologies become available. We expect any tablet or other oral delivery vaccine candidates that we develop and commercialize to compete on the basis of, among other things, efficacy, safety, convenience of administration and delivery, price, availability of therapeutics, the level of generic competition and the availability of reimbursement from government and other third-party payors.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can obtain approval for our vaccine candidates, which could result in our competitors establishing a strong market position before we are able to enter the market. In addition, our ability to compete may be affected in many cases by insurers or other third-party payors seeking to encourage the use of generic products.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face competition from smaller companies who, like us, rely on investors to fund research and development and compete for co-development and licensing opportunities from large and established pharmaceutical companies. We may also face significant competition in pursuing partnership opportunities and strategic acquisitions from other companies, financial investors and enterprises whose cost of capital may be lower than ours. Competition for future partnerships or asset acquisition opportunities in our markets is intense and we may be forced to increase the price we pay for such assets.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also depend upon our ability to attract and retain qualified personnel, obtain patent protection or otherwise develop proprietary products or processes and secure sufficient capital resources for the development and commercialization of our products.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Norovirus Vaccine Candidate</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of January 2026, there are no vaccines approved by the FDA or other global regulatory agencies for the prevention of norovirus. We are aware that Moderna, Inc. and Merck, Inc. are developing norovirus vaccines that would be delivered by injection. Other companies reporting development of a norovirus vaccine candidate are Anhui Zhifei Longcom Biopharmaceutical Co. Ltd., Chongqing Zhifei Biological Products Co., Ltd., and the National Vaccine and Serum Institute of China. In addition, we are aware of Cocrystal Pharma, Inc. reporting development of an oral antiviral for norovirus. There may be other development programs that we are not aware 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Vaccine Candidate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is significant competition in the COVID-19 vaccine market. Pfizer-BioNTech’s COVID-19 vaccine, Moderna’s COVID-19 vaccine, and Novavax’s COVID-19 vaccine have been approved in the U.S. and many countries around the world.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Influenza Vaccine Candidate</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believe our seasonal influenza vaccine candidate would compete directly with approved vaccines in the market, which include non-recombinant and recombinant products that are administered via injection or intranasally. Major players include AstraZeneca plc, CSL Ltd., Emergent BioSolutions Inc., F. Hoffmann-La Roche AG, GSK PLC, Instituto Butantan, Merck &amp; Co., Inc., Pfizer, Inc., Sanofi S.A., and Sinovac Biotech Ltd. Novel influenza programs are being developed by Centivax, Inc., Emergent BioSolutions, GSK plc, and Moderna, Inc. Antiviral programs targeting influenza are in development or marketed by F. Hoffmann-La Roche AG. and Merck &amp; Co.,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HPV Therapeutic Vaccine Candidate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January 2026, there are no therapeutic vaccines approved by the FDA or other global regulatory agencies for the treatment of HPV; however, a number of vaccine manufacturers, academic institutions and other organizations currently have, or have had, programs to develop such a vaccine. We believe that several companies are in various stages of developing an HPV therapeutic vaccine including Inovio Pharmaceuticals, Inc., Genexine Inc., and several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Inavir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number of competing anti-influenza antivirals are marketed in Japan, including Xofluza, Tamiflu, Rapiacta, and Relenza. Xofluza is marketed by Shionogi &amp; Co., Ltd. and currently believed to be the market leader in Japan, substantially reducing the sales of Inavir in Japan by Daiichi Sankyo. This has had a significant negative impact on the royalty payments we have received from Daiichi Sankyo and may continue to have a significant negative impact on our future royalty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our proprietary technology, inventions and improvements that are commercially important to our business by seeking, maintaining, and defending patent rights. We also rely on trade secrets relating to our platform and on know-how, continuing technological innovation to develop, strengthen and maintain our proprietary position in the vaccine field. In addition, we rely on regulatory protection afforded through data exclusivity, market exclusivity and patent term extensions where available. We also utilize trademark protection for our company name and expect to do so for products and/or services as they are marketed.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tablet vaccine candidates may depend on the extent to which we have rights under valid and enforceable patents or trade secrets that cover these activities. With respect to company-owned intellectual property, we cannot be sure that patents will be granted with respect to any of our pending patent applications or with respect to any patent applications we may file in the future, nor can we be sure that any of our existing patents or any patents that may be granted to us in the future will be commercially useful in protecting our commercial products and methods of manufacturing the same.</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developed numerous patents and patent applications and own substantial know-how and trade secrets related to our platform and tablet vaccine candidates.</w:t>
      </w:r>
    </w:p>
    <w:p>
      <w:pPr>
        <w:spacing w:after="0" w:line="158" w:lineRule="exact"/>
        <w:rPr>
          <w:sz w:val="20"/>
          <w:szCs w:val="20"/>
          <w:color w:val="auto"/>
        </w:rPr>
      </w:pPr>
    </w:p>
    <w:p>
      <w:pPr>
        <w:jc w:val="both"/>
        <w:ind w:left="660" w:hanging="328"/>
        <w:spacing w:after="0" w:line="274"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Vaccine Platform Technology</w:t>
      </w:r>
      <w:r>
        <w:rPr>
          <w:rFonts w:ascii="Times New Roman" w:cs="Times New Roman" w:eastAsia="Times New Roman" w:hAnsi="Times New Roman"/>
          <w:sz w:val="17"/>
          <w:szCs w:val="17"/>
          <w:color w:val="auto"/>
        </w:rPr>
        <w:t>. As of December 31, 2025, we held three U.S. patents with claims relating to our platform technology. Two of these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 patents include claims related to our seasonal influenza vaccine candidate. These patents will expire in 2027, or later if patent term extension applies. As of December 31, 2025, we held more than 45 issued foreign patents related to our platform technology and/or our vaccine candidates.</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These patents will expire in 2027, or later if patent term extension applies.</w:t>
      </w:r>
    </w:p>
    <w:p>
      <w:pPr>
        <w:spacing w:after="0" w:line="202" w:lineRule="exact"/>
        <w:rPr>
          <w:rFonts w:ascii="Times New Roman" w:cs="Times New Roman" w:eastAsia="Times New Roman" w:hAnsi="Times New Roman"/>
          <w:sz w:val="17"/>
          <w:szCs w:val="17"/>
          <w:color w:val="auto"/>
        </w:rPr>
      </w:pPr>
    </w:p>
    <w:p>
      <w:pPr>
        <w:ind w:left="660" w:right="10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Tablet Vaccine Formulation</w:t>
      </w:r>
      <w:r>
        <w:rPr>
          <w:rFonts w:ascii="Times New Roman" w:cs="Times New Roman" w:eastAsia="Times New Roman" w:hAnsi="Times New Roman"/>
          <w:sz w:val="18"/>
          <w:szCs w:val="18"/>
          <w:color w:val="auto"/>
        </w:rPr>
        <w:t>. We own considerable know-how and as of December 31, 2025, held over 25 foreign patents, including in a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European countries, Canada, Japan, China, South Korea, Singapore, Australia, Russia, Israel, Indonesia, Vietnam, the Eurasian Patent Organization and South Africa. We also have one application pending in the U.S. Patents issuing from these applications will expire in 2035, or later if patent term extension applies.</w:t>
      </w:r>
    </w:p>
    <w:p>
      <w:pPr>
        <w:spacing w:after="0" w:line="176" w:lineRule="exact"/>
        <w:rPr>
          <w:rFonts w:ascii="Times New Roman" w:cs="Times New Roman" w:eastAsia="Times New Roman" w:hAnsi="Times New Roman"/>
          <w:sz w:val="18"/>
          <w:szCs w:val="18"/>
          <w:color w:val="auto"/>
        </w:rPr>
      </w:pPr>
    </w:p>
    <w:p>
      <w:pPr>
        <w:ind w:left="660" w:right="34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COVID-19 Vaccine Candidate</w:t>
      </w:r>
      <w:r>
        <w:rPr>
          <w:rFonts w:ascii="Times New Roman" w:cs="Times New Roman" w:eastAsia="Times New Roman" w:hAnsi="Times New Roman"/>
          <w:sz w:val="18"/>
          <w:szCs w:val="18"/>
          <w:color w:val="auto"/>
        </w:rPr>
        <w:t>. As of December 31, 2025, we have filed a PCT application and have pending applications in the U.S., EPO,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Australia, Canada, China, Japan, South Korea, India, and South Africa relating to our COVID-19 vaccine candidate. Any patents issuing from these pending applications will expire in 2041/2042, or later if patent term extension applies.</w:t>
      </w:r>
    </w:p>
    <w:p>
      <w:pPr>
        <w:spacing w:after="0" w:line="170"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Norovirus Vaccine Tablet Candidates</w:t>
      </w:r>
      <w:r>
        <w:rPr>
          <w:rFonts w:ascii="Times New Roman" w:cs="Times New Roman" w:eastAsia="Times New Roman" w:hAnsi="Times New Roman"/>
          <w:sz w:val="18"/>
          <w:szCs w:val="18"/>
          <w:color w:val="auto"/>
        </w:rPr>
        <w:t>. As of December 31, 2025, we have filed a provisional application in the U.S. and held two U.S. patents,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over 20 patents in foreign countries including a number of European countries, Australia, Japan, South Korea, South Africa, The African Regional Intellectual Property Organization (ARIPO), and New Zealand, and have pending applications in the U.S., China, Canada, the EPO, and the Eurasian Patent Organization. Any patents issuing from these applications will expire in 2036, or later if patent term extension applies.</w:t>
      </w:r>
    </w:p>
    <w:p>
      <w:pPr>
        <w:spacing w:after="0" w:line="176"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Influenza Vaccine Candidates</w:t>
      </w:r>
      <w:r>
        <w:rPr>
          <w:rFonts w:ascii="Times New Roman" w:cs="Times New Roman" w:eastAsia="Times New Roman" w:hAnsi="Times New Roman"/>
          <w:sz w:val="18"/>
          <w:szCs w:val="18"/>
          <w:color w:val="auto"/>
        </w:rPr>
        <w:t>. We have been issued 13 foreign patents as of December 31, 2025 relating to our current H1N1 influenza vaccine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 These patents will expire in 2030, or later if patent term extension applies.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PCT applications relating to improved adenoviral vectors and antibodies to norovirus antigens have been filed.</w:t>
      </w:r>
    </w:p>
    <w:p>
      <w:pPr>
        <w:spacing w:after="0" w:line="248" w:lineRule="exact"/>
        <w:rPr>
          <w:rFonts w:ascii="Times New Roman" w:cs="Times New Roman" w:eastAsia="Times New Roman" w:hAnsi="Times New Roman"/>
          <w:sz w:val="18"/>
          <w:szCs w:val="18"/>
          <w:color w:val="auto"/>
        </w:rPr>
      </w:pPr>
    </w:p>
    <w:p>
      <w:pPr>
        <w:ind w:left="660" w:right="24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Inavir</w:t>
      </w:r>
      <w:r>
        <w:rPr>
          <w:rFonts w:ascii="Times New Roman" w:cs="Times New Roman" w:eastAsia="Times New Roman" w:hAnsi="Times New Roman"/>
          <w:sz w:val="18"/>
          <w:szCs w:val="18"/>
          <w:color w:val="auto"/>
        </w:rPr>
        <w:t>. As of December 31, 2025, we own Japanese patents related to Inavir, which is exclusively licensed to Daiichi Sankyo.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provided by Daiichi Sankyo, the last patent related to Inavir in Japan is set to expire in August 2036, at which time royalty revenue will cease. However, the patent covering the laninamivir octanoate compound expired in 2024, opening the market for generic competition, potentially decreasing or eliminating the royalties received.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to the above, we have established expertise and development capabilities focused in the areas of preclinical research and development, manufacturing and manufacturing process scale-up, quality control, quality assurance, regulatory affairs and clinical trial design and implementation. We believe that our focus and expertise will help us develop products based on our proprietary intellectual property.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date of filing the non-provisional application. In the U.S., a patent’s term may be lengthened by patent term adjustment, which compensates a patentee for administrative delays by the U.S. Patent and Trademark Office in granting a patent, or may be shortened if a patent is terminally disclaimed over an earlier-filed patent.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term of a patent that covers an FDA-approved drug may also be eligible for patent term extension, which permits patent term restoration of a U.S. patent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A patent term extension cannot extend the remaining term of a patent beyond a total of 14 years from the date of product approval and only one patent applicable to an approved drug may be extended. Moreover, a patent can only be extended once, and thus, if a single patent is applicable to multiple products, it can only be extended based on one product. Similar provisions are available in Europe and other foreign jurisdictions to extend the term of a patent that covers an approved drug. When possible, depending upon the length of clinical trials and other factors involved in the filing of a new drug application, or NDA, we expect to apply for patent term extensions for patents covering our vaccine candidates and their methods of use.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in some circumstances, on trade secrets to protect our technology.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procedures,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Federal, state and local government authorities in the U.S.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biological and pharmaceutical products such as those we are developing. Our vaccine candidates must be approved by the FDA before they may be legally marketed in the U.S. and by the appropriate foreign regulatory agency before they may be legally marketed in foreign countries. Generally, our activities in other countries will be subject to regulation that is similar in nature and scope as that imposed in the U.S., even though it may differ in certain respects. The process for obtaining regulatory marketing approvals and the subsequent compliance with appropriate federal, state, local and foreign statutes and regulations require the expenditure of substantial time and financial resources. The rules and regulations that apply to our business are subject to change and it is difficult to foresee whether, how, or when such changes may affect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Product Development Process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U.S., the FDA regulates pharmaceutical and biological products under the Federal Food, Drug and Cosmetic Act, Public Health Service Act, or PHSA, and implementing regulations. Products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or biological product may be marketed in the U.S. generally involves the following:</w:t>
      </w:r>
    </w:p>
    <w:p>
      <w:pPr>
        <w:spacing w:after="0" w:line="188" w:lineRule="exact"/>
        <w:rPr>
          <w:sz w:val="20"/>
          <w:szCs w:val="20"/>
          <w:color w:val="auto"/>
        </w:rPr>
      </w:pPr>
    </w:p>
    <w:p>
      <w:pPr>
        <w:ind w:left="660" w:right="3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GLPs, and applicable requirements for the humane use of laboratory animals or other applicable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52"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 (“GCP”), and any additional requirements for the protection of human research subjects and their health information, to establish the safety and efficacy of the proposed biological product for its intended use;</w:t>
      </w:r>
    </w:p>
    <w:p>
      <w:pPr>
        <w:spacing w:after="0" w:line="175" w:lineRule="exact"/>
        <w:rPr>
          <w:rFonts w:ascii="Times New Roman" w:cs="Times New Roman" w:eastAsia="Times New Roman" w:hAnsi="Times New Roman"/>
          <w:sz w:val="18"/>
          <w:szCs w:val="18"/>
          <w:color w:val="auto"/>
        </w:rPr>
      </w:pPr>
    </w:p>
    <w:p>
      <w:pPr>
        <w:ind w:left="660" w:right="460" w:hanging="328"/>
        <w:spacing w:after="0" w:line="312"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 Biologics License Application (“BLA”) for marketing approval that meets applicable requirements to ensure the continued safety, purity, and potency of the product that is the subject of the BLA based on results of nonclinical testing and clinical trials;</w:t>
      </w:r>
    </w:p>
    <w:p>
      <w:pPr>
        <w:spacing w:after="0" w:line="139" w:lineRule="exact"/>
        <w:rPr>
          <w:rFonts w:ascii="Times New Roman" w:cs="Times New Roman" w:eastAsia="Times New Roman" w:hAnsi="Times New Roman"/>
          <w:sz w:val="17"/>
          <w:szCs w:val="17"/>
          <w:color w:val="auto"/>
        </w:rPr>
      </w:pPr>
    </w:p>
    <w:p>
      <w:pPr>
        <w:ind w:left="660" w:right="4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study and clinical trial sites that generated the data in support of the BLA;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25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Before testing any biological vaccine candidate, including our tablet vaccine candidates, in humans, the vaccine candidate enters the preclinical testing stage. Preclinical tests, also referred to as nonclinical studies, include laboratory evaluations of product chemistry, toxicity and formulation, as well as toxicological and pharmacological studies in animal species, to assess the potential safety and activity of the vaccine candidate. The conduct of the preclinical tests must comply with federal regulations and requirements including GLPs for certain animal studies and the Animal Welfare Act, which is enforced by the Department of Agriculture.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Any person or entity sponsoring clinical trials in the U.S. to evaluate a product candidate’s safety and effectiveness must submit to the FDA, prior to commencing such trials, an IND application, which provides a basis for the FDA to conclude that there is an adequate basis for testing the product in humans.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biological product candidate to healthy volunteers or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are subject to extensive regulation. Clinical trials must be conducted and monitored in accordance with the FDA’s bioresearch monitoring regulations and regulations composing the GCP requirements, including the requirement that all research subjects provide informed consent.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w:t>
      </w:r>
    </w:p>
    <w:p>
      <w:pPr>
        <w:spacing w:after="0" w:line="19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Foreign studies conducted under an IND must meet the same requirements applicable to studies conducted in the U.S. However, if a foreign study is not conducted under an IND, the data may still be submitted to the FDA in support of a product application, if the study was conducted in accordance with GCP and the FDA is able to validate the data.</w:t>
      </w:r>
    </w:p>
    <w:p>
      <w:pPr>
        <w:spacing w:after="0" w:line="17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sponsor of a clinical trial or the sponsor’s designated responsible party may be required to register certain information about the trial and disclose certain results on government or independent registry websites, such as clinicaltrials.gov.</w:t>
      </w: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05" w:lineRule="exact"/>
        <w:rPr>
          <w:sz w:val="20"/>
          <w:szCs w:val="20"/>
          <w:color w:val="auto"/>
        </w:rPr>
      </w:pPr>
    </w:p>
    <w:p>
      <w:pPr>
        <w:ind w:left="660" w:right="8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biological product is initially introduced into a small number of healthy human subjects and tested for safety and to develop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profiles of its pharmacological and pharmacokinetic actions, determine side effects associated with increasing doses, and if possible, gain early evidence of effectiveness. In the case of some products for severe or life-threatening diseases, especially when the product may be too inherently toxic to ethically administer to healthy volunteers, the initial human testing is often conducted in subjects.</w:t>
      </w:r>
    </w:p>
    <w:p>
      <w:pPr>
        <w:spacing w:after="0" w:line="179" w:lineRule="exact"/>
        <w:rPr>
          <w:rFonts w:ascii="Times New Roman" w:cs="Times New Roman" w:eastAsia="Times New Roman" w:hAnsi="Times New Roman"/>
          <w:sz w:val="18"/>
          <w:szCs w:val="18"/>
          <w:color w:val="auto"/>
        </w:rPr>
      </w:pPr>
    </w:p>
    <w:p>
      <w:pPr>
        <w:ind w:left="660" w:right="240" w:hanging="328"/>
        <w:spacing w:after="0" w:line="315"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Phase 2</w:t>
      </w:r>
      <w:r>
        <w:rPr>
          <w:rFonts w:ascii="Times New Roman" w:cs="Times New Roman" w:eastAsia="Times New Roman" w:hAnsi="Times New Roman"/>
          <w:sz w:val="17"/>
          <w:szCs w:val="17"/>
          <w:color w:val="auto"/>
        </w:rPr>
        <w:t>. The biological product is evaluated in a limited patient population to identify possible adverse effects and safety risks, to preliminarily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 the efficacy of the product for specific targeted diseases and to determine dosage tolerance, optimal dosage and dosing schedule.</w:t>
      </w:r>
    </w:p>
    <w:p>
      <w:pPr>
        <w:spacing w:after="0" w:line="134" w:lineRule="exact"/>
        <w:rPr>
          <w:rFonts w:ascii="Times New Roman" w:cs="Times New Roman" w:eastAsia="Times New Roman" w:hAnsi="Times New Roman"/>
          <w:sz w:val="17"/>
          <w:szCs w:val="17"/>
          <w:color w:val="auto"/>
        </w:rPr>
      </w:pPr>
    </w:p>
    <w:p>
      <w:pPr>
        <w:ind w:left="660" w:right="30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risk to benefit profile of the product and provide an adequate basis for product labeling. Phase 3 data often form the core basis on which the FDA evaluates a product candidate’s safety and effectiveness when considering the product application.</w:t>
      </w:r>
    </w:p>
    <w:p>
      <w:pPr>
        <w:spacing w:after="0" w:line="18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subjects.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criteria,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FDA approval of a BLA must be obtained before commercial marketing of the biological product. The BLA must include results of product development, laboratory and animal studies, human trials, information on the manufacture and composition of the product, proposed labeling and other relevant information. The FDA may grant deferrals for submission of data, or full or partial waivers. The testing and approval processes require substantial time and effort and there can be no assurance that the FDA will accept the BLA for filing and, even if filed, that any approval will be granted on a timely basis, if at all.</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FDA performance goals generally provide for action on a BLA within 12 months of submission. That deadline can be extended under certain circumstances, including by the FDA’s requests for additional information.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a BLA without a REMS, if required.</w:t>
      </w:r>
    </w:p>
    <w:p>
      <w:pPr>
        <w:spacing w:after="0" w:line="19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The complete response letter may also request additional information, including additional preclinical or clinical data, for the FDA to reconsider the application. If a complete response letter is issued, the applicant may either resubmit the BLA, addressing all of the deficiencies identified in the letter, or withdraw the application.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the Pediatric Research Equity Act,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Obtaining approval can take years, requires substantial resources and depends on a number of factors, including the severity of the targeted disease or condition, the availability of alternative treatments, and the risks and benefits demonstrated in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physicians may prescribe legally available products for off-label uses, if the physicians deem to be appropriate in their professional medical judgment, manufacturers may not market or promote such off-label uses. If ongoing regulatory requirements are not met, or if safety problems occur after a product reaches market, the FDA may take actions to change the conditions under which the product is marketed, including limiting, suspending or even withdrawing approval.</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tablet vaccine candidates under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U.S., our activities are potentially subject to regulation by various federal, state and local authorities in addition to the FDA, including but not limited to, the Centers for Medicare and Medicaid Services, or CMS, other divisions of the U.S. Department of Health and Human Services, for instance the Office of Inspector General, the U.S. Department of Justice, or DOJ, and individual U.S. Attorney offices within the DOJ, and state and local governments. For example, sales, marketing and scientific/educational grant programs must comply with the anti-fraud and abuse provisions of the Social Security Act, the false claims laws, the physician payment transparency laws, the privacy and security provisions of the Health Insurance Portability and Accountability Act, or HIPAA, as amended by the Health Information Technology and Clinical Health Act, or HITECH, and similar state laws, each as amended.</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Our practices may not in all cases meet all of the criteria for protection under a statutory exception or regulatory safe harbor.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(“FCA”), as discussed below.</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federal FCA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HIPAA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apply to items and services reimbursed under Medicaid and other state programs, or, in several states, apply regardless of the payor.</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be subject to data privacy and security regulations by both the federal government and the states in which we conduct our business. HIPAA, as amended by the HITECH Act,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thus complicating compliance efforts.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Additionally, the Federal Physician Payments Sunshine Act under the Affordable Care Act,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submit timely, accurately, and completely the required information may result in civil monetary penalties of up to an aggregate of $150,000 per year and up to an aggregate of $1 million per year for “knowing failures”. Certain states also mandate implementation of compliance programs, impose restrictions on pharmaceutical manufacturer marketing practices and/or require the tracking and reporting of gifts, compensation and other remuneration to healthcare providers and entities.</w:t>
      </w:r>
    </w:p>
    <w:p>
      <w:pPr>
        <w:spacing w:after="0" w:line="1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order to distribute products commercially, we must also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tablet vaccine candidates for which we obtain regulatory approval. In the U.S. and markets in other countries, sales of any products for which we receive regulatory approval for commercial sale will depend, in part, on the extent to which third-party payors provide coverage, and establish adequate reimbursement levels for such products. In the U.S.,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tablet vaccine candidates, in addition to the costs required to obtain the FDA approvals. Our tablet vaccine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countries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marketability of any tablet vaccine candidates for which it receives regulatory approval for commercial sale may suffer if the government and third-party payors fail to provide adequate coverage and reimbursement. In addition, emphasis on managed care in the U.S. has increased and we expect the pressure on healthcare pricing will continue to increase.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anticipate that current and future U.S. legislative healthcare reforms may result in additional downward pressure on the price that we receive for any approved product, if covered,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tablet vaccine candidates. In addition, it is possible that there will be further legislation or regulation that could harm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Privacy and Security</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subject to federal and state laws and regulations that regulate the use, security, and disclosure of certain types of personal data. These include the federal regulations promulgated under the authority of the Health Insurance Portability and Accountability Act of 1996 (“HIPAA”) that require us to provide certain protections to individuals regarding their health information. The HIPAA privacy and security regulations extensively regulate the use and disclosure of protected health information (“PHI”) and require covered entities, which include healthcare providers and health plans, and their business associates to implement and maintain administrative, physical, and technical safeguards to protect the security of such information. Additional security requirements apply to electronic PHI. These regulations also provide individuals with substantive rights with respect to their health information.</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HIPAA privacy and security regulations also require us to enter into written agreements with our covered entity customers and our subcontractors, also known as business associates, to whom we disclose PHI. Covered entities may be subject to penalties as a result of a business associate violating HIPAA, if the business associate is found to be an agent of the covered entity. Business associates are also directly subject to liability under certain HIPAA privacy and security regulations and may be found liable for the violations of their agents.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HIPAA requires covered entities to notify affected individuals of breaches of unsecured PHI without unreasonable delay but no later than 60 days after discovery of the breach. If a business associate is acting as an agent of a covered entity, then the covered entity must provide the required notifications to individuals based on the time when the business associate discovered the breach. Reporting must also be made to the HHS Office for Civil Rights (“OCR”) and, for breaches of unsecured PHI involving more than 500 residents of a state or jurisdiction, to the media. Impermissible uses or disclosures of unsecured PHI are presumed to be breaches unless the covered entity or business associate establishes that there is a low probability the PHI has been compromised. Various state laws and regulations may also require us to notify affected individuals and the state regulators in the event of a data breach involving personal information without regard to the probability of the information being compromised. State laws and standard practice often provide for shorter data breach reporting timelines than required by HIPAA.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Violations of the HIPAA privacy and security regulations may result in criminal penalties and in substantial civil penalties per violation. The civil penalties are adjusted annually based on updates to the consumer price index. OCR is required to perform compliance audits and investigates HIPAA compliance in response to complaints and reports of breaches. In addition to enforcement by OCR, state attorneys general are authorized to bring civil actions seeking either injunction or damages in response to violations of HIPAA privacy and security regulations that threaten the privacy of state residents. OCR may resolve HIPAA violations through informal means, such as allowing a covered entity to implement a corrective action plan, but OCR has the discretion to move directly to impose monetary penalties and is required to impose penalties for violations resulting from willful neglect. There can be no assurance that we will not be the subject of an investigation (arising out of a reportable breach incident, audit or otherwise) alleging noncompliance with HIPAA regulations in our maintenance of PHI.</w:t>
      </w:r>
    </w:p>
    <w:p>
      <w:pPr>
        <w:spacing w:after="0" w:line="19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The Federal Trade Commission Act (“FTCA”) also empowers the Federal Trade Commission to implement rules and regulations protecting personal information, and to take enforcement action when data practices constitute unfair or deceptive acts or practices. The FTC regularly takes enforcement action and has emphasized the protection of medical and other health care information as an enforcement priority. Following the United Stated Supreme Court’s Dobbs decision and state laws that may criminalize certain health care procedures, types of personal information not traditionally thought of as health-related now may reveal personal information about health care decisions, heightening governmental scrutiny of data privacy practices.</w:t>
      </w:r>
    </w:p>
    <w:p>
      <w:pPr>
        <w:spacing w:after="0" w:line="1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to HIPAA and the FTCA, numerous state and federal laws and regulations govern the collection, dissemination, use, privacy, confidentiality, security, availability, integrity, creation, receipt, transmission, storage, and other processing of medical. health care, employment, consumer, and other personal information. Privacy and data security statutes and regulations vary from state to state, and these laws and regulations in many cases are more restrictive than, and generally are not preempted by, the FTCA and HIPAA and their implementing rules. These laws and regulations regulate how personal information is used, sold, and shared; grant individuals substantive rights regarding their data that data processers are obligated to honor; impose rigorous information security and data breach obligations; and in some instances provide private rights of action to individuals affected by alleged violations of the laws in addition to the costs and liabilities arising from government enforcement.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also may be subject to international data protection regulations related to the collection, transmission, storage and use of employee data. For example, the General Data Protection Regulation (“GDPR”), which became effective on May 25, 2018, imposes strict compliance obligations on the collection, use, retention, security, processing, transfer and deletion of personal information and creates enhanced rights for individuals, including requirements relating to processing health and other sensitive data, obtaining consent of the individuals to whom the information relates in certain circumstances, providing information to individuals regarding data processing activities, implementing safeguards to protect the security and confidentiality of personal data, providing notification of data breaches and taking certain measures when engaging third-party processors that will have access to personal data. The GDPR also imposes strict rules on the transfer of personal data to countries outside the European Economic Area, including the U.S. and the United Kingdom. Entities that fail to comply with the requirements of the GDPR may be subject to very significant penalties, including potential fines of up to the greater of €20 million or 4% of annual global revenue.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Government regulators, privacy advocates and class action attorneys are also increasingly scrutinizing how companies collect, process, use, store, share and transmit other types of personal data. For example, the California Consumer Privacy Act of 2018 (“CCPA”), which went into effect on January 1, 2020, and was significantly modified by the California Privacy Rights Act (“CPRA”), which became fully effective on January 1, 2023, applies broadly to information that identifies or is associated with any California household or individual, and requires that we implement several operational changes, including processes to respond to individuals’ requests regarding their personal information. The CPRA also creates a new enforcement agency to enforce the CCPA and CPRA and imposes additional requirements, including privacy risk assessments, audits and vendor contractual requirements for data sharing, license and access arrangements. The CCPA and CPRA provide for civil penalties for violations and allow private rights of action for data breaches. Virginia, Colorado, Connecticut and Utah have also passed comprehensive privacy legislation that take effect during 2023, and several other states, as well as federal lawmakers, have proposed additional consumer privacy legislation. The complex, dynamic legal landscape regarding privacy, data protection and information security creates significant compliance challenges for us, potentially restricts our ability to collect, use and disclose data, and exposes us to additional expense, and, if we cannot comply with applicable laws in a timely manner or at all, adverse publicity, harm to our reputation, and 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Greenhouse Gas Emission Related Policies, Regulation, and Legislation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Governments across the globe have announced and implemented various policies, regulation, and legislation to support the transition from fossil fuels to low-carbon forms of energy and the infrastructure around that transition. The operation of our business and our customers’ use of our products and solutions and services as well as our digital applications are and may in the future be, impacted by these various government actions. In August 2022, the U.S. passed the Inflation Reduction Act (“IRA”), which consists of a number of provisions aimed directly at confronting the climate change crisis. The climate-related provisions of the IRA are projected to cut emissions by up to 40% from 2005 GHG levels in the U.S. by 2030. Among other things, the IRA introduces an ITC for standalone energy storage, which is anticipated to lower capital cost of equipment. The IRA also contains provisions with incentives for grid modernization equipment, including domestic battery cell manufacturing, battery module manufacturing and its components as well as various upstream applications. It is unknown what form any future changes or any law would take under the incoming Trump administration, and how or whether it may affect our business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Our management and scientific teams possess considerable experience in vaccine and anti-infective research, clinical development and regulatory matters. Our research and development team includes Ph.D.-level scientists with expertise in mucosal immunology, T cells, viral vectors and virology. General and administrative includes finance, human resources, administration, business and general management. As of December 31, 2025, we had approximately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full-time equivalent employees, excluding interns. Our full-time equivalent employees comprised of approximately 50 in research and development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in general and administrative capacities.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had 9 full-time equivalent contractors as of December 31, 2025.</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do not have collective bargaining agreements with our employees and have not experienced any work stoppages. We consider our relations with our employees to be good.</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human capital resources objectives include identifying, recruiting, training, retaining, and incentivizing our existing and new employees. We maintain an equity incentive plan, the principal purpose of which is to attract, retain and reward personnel through the granting of stock-based compensation awards, in order to increase stockholder value and the success of our company by motivating such individuals to perform to the best of their abilities and achieve our objectives. We offer an employee stock purchase plan, the principal purpose of which is to assist employees in acquiring a share ownership interest in Vaxart and to help such employees provide for their future security and to encourage them to remain in the employment of Vaxart. To facilitate talent attraction and retention, we strive to make Vaxart a safe and rewarding workplace, with opportunities for our employees to grow and develop in their careers, supported by competitive compensation, benefits and health and wellness programs, and by programs that build connections between our employees.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the other information in this Annual Report, including our consolidated financial statements and the related notes and “Management’s Discussion and Analysis of Financial Condition and Results of Operations”, as well as our other public filings. The occurrence of any of the following risks could harm our business, financial condition, results of operations and/or growth prospects or cause our actual results to differ materially from those contained in forward-looking statements we have made in this Annual Report and those we may make from time to time. You should consider all of the risk factors described when evaluating our business.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a number of risks, some of which are beyond our control. This discussion highlights some of the risks that may affect future operating results. These are the risks and uncertainties we believe are most important to consider. We cannot be certain that we will successfully address these risks. If we are unable to address these risks, our business may not grow, our stock price may suffer and we may be unable to stay in business. Additional risks and uncertainties not presently known to us, which we currently deem immaterial or which are similar to those faced by other companies in our industry or business in general, may also impair our business operations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discussed in more detail in the following section. These risks include, among others, the following key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Financial Position and Capital Requirements</w:t>
      </w:r>
    </w:p>
    <w:p>
      <w:pPr>
        <w:spacing w:after="0" w:line="2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our operating history, we have generated limited product revenue.</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expect to continue to incur significant losses for the foreseeable future and may never achieve or maintain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largely dependent on the success of our tablet vaccine candidates for the prevention of norovirus and coronavirus infection.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produced a commercially viable vaccine and we may be never able 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fund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expand our organization and may experience difficulties in managing growth.</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by a pandemic, epidemic, or outbreak of an infectious disease, such as the ongoing coronavirus pandemic and the emergence of additional variants.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Clinical Development, Regulatory Approval and Commercialization</w:t>
      </w:r>
    </w:p>
    <w:p>
      <w:pPr>
        <w:spacing w:after="0" w:line="227" w:lineRule="exact"/>
        <w:rPr>
          <w:sz w:val="20"/>
          <w:szCs w:val="20"/>
          <w:color w:val="auto"/>
        </w:rPr>
      </w:pPr>
    </w:p>
    <w:p>
      <w:pPr>
        <w:ind w:left="660" w:right="2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coronavirus vaccines is evolving, as is the random appearance of novel variants, which may result in unexpected or unforeseen challenges.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time-consuming, difficult to design and implement and involve an uncertain outcome.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tablet vaccine candidates may cause adverse effects resulting in failure to obtain approval from the U.S. Food and Drug Administration (the “FDA”) and/or product liability lawsuits against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manufacture sufficient bulk vaccine for our ongoing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 parties for manufacturing and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numerous risks associated with our intellectual property.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Dependence on Third Parties</w:t>
      </w:r>
    </w:p>
    <w:p>
      <w:pPr>
        <w:spacing w:after="0" w:line="227" w:lineRule="exact"/>
        <w:rPr>
          <w:sz w:val="20"/>
          <w:szCs w:val="20"/>
          <w:color w:val="auto"/>
        </w:rPr>
      </w:pPr>
    </w:p>
    <w:p>
      <w:pPr>
        <w:ind w:left="660" w:right="4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could delay or prevent the development, approval, manufacturing, or any eventual commercialization of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manufacturers for certain portions of our manufacturing process. If third-party contract manufacturers do not perform, fail to manufacture according to our specifications, or fail to comply with strict government regulations, our preclinical studies or clinical trials could be adversely affected and the development of our product candidates could be delayed or terminated, or we could incur significant additional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Intellectual Property</w:t>
      </w:r>
    </w:p>
    <w:p>
      <w:pPr>
        <w:spacing w:after="0" w:line="227" w:lineRule="exact"/>
        <w:rPr>
          <w:sz w:val="20"/>
          <w:szCs w:val="20"/>
          <w:color w:val="auto"/>
        </w:rPr>
      </w:pPr>
    </w:p>
    <w:p>
      <w:pPr>
        <w:ind w:left="660" w:right="2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oral vaccine platform technology and product candidates or if the scope of the patent protection obtained is not sufficiently broad, we may not be able to compete effectively in our markets.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the patents of our licensors or our other intellectual property rights, which could be expensive, time consuming and unsuccessful.</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 party claims we are infringing on its intellectual property rights, we could incur significant expenses or be prevented from further developing or commercializing our product candidates, which could materially harm our business.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our patent protection depends on compliance with various procedures, document submission, fee payment and other requirements imposed by governmental patent agencies, and our patent protection could be reduced or eliminated for non-compliance with these requirements.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 which could impair our business.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requires us to share our trade secrets, which increases the possibility that a competitor will discover them or that our trade secrets will be misappropriated or disclosed.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Position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Throughout our operating history, we have generated limited product revenue.</w:t>
      </w:r>
    </w:p>
    <w:p>
      <w:pPr>
        <w:spacing w:after="0" w:line="229"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Even though we generate royalty revenue from Inavir, our commercialized influenza product, we are at an early stage in our clinical development process and have not yet successfully completed a large-scale, pivotal clinical trial, obtained marketing approval, manufactured our tablet vaccine candidates at commercial scale, or conducted sales and marketing activities that will be necessary to successfully commercialize our product candidates. Consequently, predictions about our future success or viability may not be as accurate as they could be if we had a history of successfully developing and commercializing product candidates.</w:t>
      </w:r>
    </w:p>
    <w:p>
      <w:pPr>
        <w:spacing w:after="0" w:line="183" w:lineRule="exact"/>
        <w:rPr>
          <w:sz w:val="20"/>
          <w:szCs w:val="20"/>
          <w:color w:val="auto"/>
        </w:rPr>
      </w:pPr>
    </w:p>
    <w:p>
      <w:pPr>
        <w:ind w:left="20" w:right="80"/>
        <w:spacing w:after="0" w:line="261" w:lineRule="auto"/>
        <w:rPr>
          <w:sz w:val="20"/>
          <w:szCs w:val="20"/>
          <w:color w:val="auto"/>
        </w:rPr>
      </w:pPr>
      <w:r>
        <w:rPr>
          <w:rFonts w:ascii="Times New Roman" w:cs="Times New Roman" w:eastAsia="Times New Roman" w:hAnsi="Times New Roman"/>
          <w:sz w:val="18"/>
          <w:szCs w:val="18"/>
          <w:color w:val="auto"/>
        </w:rPr>
        <w:t>Our ability to generate significant revenue and achieve and maintain profitability will depend upon our ability to successfully complete the development of our tablet vaccine candidates for the prevention of norovirus, coronavirus and influenza infection and the treatment of cervical cancer and dysplasia caused by human papillomavirus (“HPV”) and other infectious diseases, and to obtain the necessary regulatory approvals. As disclosed elsewhere in this document, the Company is evaluating the best way to progress certain programs.</w:t>
      </w:r>
    </w:p>
    <w:p>
      <w:pPr>
        <w:spacing w:after="0" w:line="180" w:lineRule="exact"/>
        <w:rPr>
          <w:sz w:val="20"/>
          <w:szCs w:val="20"/>
          <w:color w:val="auto"/>
        </w:rPr>
      </w:pPr>
    </w:p>
    <w:p>
      <w:pPr>
        <w:ind w:left="20" w:right="40"/>
        <w:spacing w:after="0" w:line="282" w:lineRule="auto"/>
        <w:rPr>
          <w:sz w:val="20"/>
          <w:szCs w:val="20"/>
          <w:color w:val="auto"/>
        </w:rPr>
      </w:pPr>
      <w:r>
        <w:rPr>
          <w:rFonts w:ascii="Times New Roman" w:cs="Times New Roman" w:eastAsia="Times New Roman" w:hAnsi="Times New Roman"/>
          <w:sz w:val="18"/>
          <w:szCs w:val="18"/>
          <w:color w:val="auto"/>
        </w:rPr>
        <w:t>Even if we receive regulatory approval for the sale of any of our product candidates, we do not know when we will begin to generate significant revenue, if at all. Our ability to generate significant revenue depends on a number of factors, including our ability to:</w:t>
      </w:r>
    </w:p>
    <w:p>
      <w:pPr>
        <w:spacing w:after="0" w:line="162" w:lineRule="exact"/>
        <w:rPr>
          <w:sz w:val="20"/>
          <w:szCs w:val="20"/>
          <w:color w:val="auto"/>
        </w:rPr>
      </w:pPr>
    </w:p>
    <w:p>
      <w:pPr>
        <w:ind w:left="680" w:hanging="32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an acceptable price for our product candidates and obtain coverage and adequate reimbursement from third-party payors;</w:t>
      </w:r>
    </w:p>
    <w:p>
      <w:pPr>
        <w:spacing w:after="0" w:line="252"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royalties on our products and product candidates including in connection with sales of Inavir;</w:t>
      </w:r>
    </w:p>
    <w:p>
      <w:pPr>
        <w:spacing w:after="0" w:line="252"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manufacturing and distribution systems;</w:t>
      </w:r>
    </w:p>
    <w:p>
      <w:pPr>
        <w:spacing w:after="0" w:line="252"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continue to scale our operational, financial and management information systems and personnel, including personnel to support our clinical, manufacturing and planned future clinical development and commercialization efforts;</w:t>
      </w:r>
    </w:p>
    <w:p>
      <w:pPr>
        <w:spacing w:after="0" w:line="161" w:lineRule="exact"/>
        <w:rPr>
          <w:rFonts w:ascii="Times New Roman" w:cs="Times New Roman" w:eastAsia="Times New Roman" w:hAnsi="Times New Roman"/>
          <w:sz w:val="18"/>
          <w:szCs w:val="18"/>
          <w:color w:val="auto"/>
        </w:rPr>
      </w:pPr>
    </w:p>
    <w:p>
      <w:pPr>
        <w:ind w:left="680" w:right="660" w:hanging="328"/>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 collaboration with others, manufacturing capabilities for bulk materials and manufacture commercial quantities of our product candidates at acceptable cost levels;</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broad market acceptance of our product candidates in the medical community and with third-party payors and consumers;</w:t>
      </w:r>
    </w:p>
    <w:p>
      <w:pPr>
        <w:spacing w:after="0" w:line="252"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an experienced management and advisory team;</w:t>
      </w:r>
    </w:p>
    <w:p>
      <w:pPr>
        <w:spacing w:after="0" w:line="252"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252" w:lineRule="exact"/>
        <w:rPr>
          <w:rFonts w:ascii="Times New Roman" w:cs="Times New Roman" w:eastAsia="Times New Roman" w:hAnsi="Times New Roman"/>
          <w:sz w:val="18"/>
          <w:szCs w:val="18"/>
          <w:color w:val="auto"/>
        </w:rPr>
      </w:pPr>
    </w:p>
    <w:p>
      <w:pPr>
        <w:ind w:left="680" w:right="1220" w:hanging="328"/>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in-license or acquire product candidates or commercial-stage products that we believe can be successfully developed and commercialized; and</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vaccine development and manufacturing, we are unable to predict the timing or amount of increased development expenses, or when we will be able to achieve or maintain profitability, if at all. Our expenses could increase beyond expectations if we are required by the FDA, or comparable non-U.S. regulatory authorities, to perform studies or clinical trials in addition to those we currently anticipate. Even if our product candidates are approved for commercial sale, we anticipate incurring significant costs associated with the commercial launch of and the related commercial-scale manufacturing requirements for our product candidates. If we cannot successfully execute on any of the factors listed above, our business may not succeed.</w:t>
      </w:r>
    </w:p>
    <w:p>
      <w:pPr>
        <w:spacing w:after="0" w:line="18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expect to continue to incur significant losses for the foreseeable future and may never achieve or maintain profitability.</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expect to continue to incur substantial and increasing losses as we continue to pursue our business strategy. Our product candidates have not been approved for marketing in the U.S. and may never receive such approval. As a result, we are uncertain when or if we will achieve profitability and, if so, whether we will be able to sustain it. Our ability to generate significant revenue and achieve profitability is dependent on our ability to complete development, obtain necessary regulatory approvals, and have our product candidates manufactured and successfully marketed. We cannot be sure that we will be profitable even if we successfully commercialize one of our product candidates. If we do successfully obtain regulatory approval to market our tablet vaccine candidates, our revenues will be dependent, in part, upon the size of the markets in the territories for which regulatory approval is received, the number of competitors in such markets, the price at which we can offer our product candidates and whether we own the commercial rights for that territory. If the indication approved by regulatory authorities is narrower than we expect, or the treatment population is narrowed by competition, physician choice or treatment guidelines, we may not generate significant revenue from sales of our product candidates, even if approved. Even if we do achieve profitability, we may not be able to sustain or increase profitability on a quarterly or annual basis. If we fail to become and remain profitable, the market price of our common stock and our ability to raise capital and continue operations will be adversely affected.</w:t>
      </w:r>
    </w:p>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expect overall research and development expenses to increase significantly for any of our tablet vaccines, including those for the prevention of norovirus, coronavirus and influenza, as well as those for the treatment of HPV-related dysplasia and cancer, although we intend to fund a significant portion of these costs through partnering and collaboration agreements. In addition, even if we obtain regulatory approval, significant sales and marketing expenses will be required to commercialize the tablet vaccine candidates. As a result, we expect to continue to incur significant and increasing operating losses and negative cash flows for the foreseeable future. These losses have had and will continue to have an adverse effect on our financial position and working capital. As of December 31, 2025, we had an accumulated deficit of $460.2 million.</w:t>
      </w:r>
    </w:p>
    <w:p>
      <w:pPr>
        <w:spacing w:after="0" w:line="183"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negative cash flows had previously raised substantial doubt regarding our ability to continue as a going concern. Although management has concluded that such conditions have been alleviated as described elsewhere in this report, we will require substantial additional funding to finance our operations, and if we are unable to raise capital, we could be forced to delay, reduce the scope of or eliminate certain of our development programs, or explore other strategic options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2025, we had $63.8 million of cash, cash equivalents and investments. We believe these funds are sufficient to fund our operations into the second quarter of 2027. Our ability to continue as a going concern is dependent upon our ability to raise additional capital through outside sources. We plan to raise additional capital through the sale of convertible stock, additional equity, debt financings, government programs, or strategic alliances with third parties. Such financing and funding may not be available at all, or on terms that are favorable to us. Failure to raise additional capital could have a material adverse effect on our business, results of operations, financial condition and/or our ability to fund our scheduled obligations on a timely basis or at all. If we are unable to continue as a going concern, we may be forced to liquidate our assets and the values we receive for our assets in liquidation or dissolution could be significantly lower than the values reflected in our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largely dependent on the success of our tablet vaccines for the prevention of norovirus and coronavirus infection, which are still in their clinical development stage, and if one or both of these tablet vaccines do not receive regulatory approval or are not successfully commercialized, our business may be harmed.</w:t>
      </w:r>
    </w:p>
    <w:p>
      <w:pPr>
        <w:spacing w:after="0" w:line="17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None of our product candidates are in late-stage clinical development or approved for commercial sale and we may never be able to develop marketable tablet vaccine candidates. We expect that a substantial portion of our efforts and expenditures over the next few years will be devoted to our tablet vaccine candidates for norovirus and coronavirus. We are committing financial resources to the development of a norovirus vaccine and a coronavirus vaccine, which may cause delays in or otherwise negatively impact our other development programs. In addition, our management and scientific teams have dedicated substantial efforts to our norovirus vaccine and coronavirus vaccine development. Accordingly, our business currently depends heavily on the successful development, regulatory approval and commercialization of our norovirus and coronavirus tablet vaccines. These tablet vaccines may not receive regulatory approval or be successfully commercialized even if regulatory approval is received. The research, testing, manufacturing, labeling, approval, sale, marketing and distribution of tablet vaccine candidates are and will remain subject to extensive regulation by the FDA and other regulatory authorities in the U.S. and other countries that each have differing regulations. We are not permitted to market our tablet vaccines in the U.S. until we receive approval of a Biologics License Application (“BLA”) from the FDA, or in any foreign countries until we receive the requisite approval from such countries. Clinical studies for our norovirus vaccine candidate and our COVID-19 vaccine candidate have not been completed. As a result, we have not submitted a BLA to the FDA or comparable applications to other regulatory authorities and do not expect to be in a position to do so for the foreseeable future. Obtaining approval of a BLA is an extensive, lengthy, expensive and inherently uncertain process, and the FDA may delay, limit or deny approval of our tablet vaccines for many reasons, including:</w:t>
      </w:r>
    </w:p>
    <w:p>
      <w:pPr>
        <w:spacing w:after="0" w:line="19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tablet vaccine is safe and effective to the satisfaction of the FDA;</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agree that the completed Phase 1 and Phase 2 clinical trials of the norovirus vaccine and the Phase 1 and Phase 2 clinical trials of the COVID-19 vaccine satisfy the FDA’s requirements and may require us to conduct additional testing;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for marketing approval;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number, design, size, conduct or implementation of one or more of our clinical trials;</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clinical trials may take actions outside of our control that materially and adversely impact our clinical trials;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find the data from our preclinical studies and clinical trials sufficient to demonstrate that the clinical and other benefits of our tablet vaccines outweigh the safety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our preclinical studies and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data generated at our clinical trial sites;</w:t>
      </w:r>
    </w:p>
    <w:p>
      <w:pPr>
        <w:spacing w:after="0" w:line="25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or BLA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as a condition of approval;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manufacturing processes or facilities;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change its approval policies or adopt new regulations.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Currently, a significant portion of the funding to further develop our COVID-19 vaccine candidate is expected to come from BARDA funds. If BARDA were to eliminate, reduce, delay, or object to funding available to us under the 2024 ATI-RRPV Contract, this could have a significant, negative impact on our revenues and cash flows, and we may be forced to suspend or terminate the continued development of the product candidate or obtain alternative sources of funding.</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the 2024 ATI-RRPV Contract provides for funding in an amount up to $460.7 million to conduct the Phase 2b study, manufacture a COVID-19 vaccine candidate targeting the KP.2 strain, and acquire an approved mRNA vaccine targeting the KP.2 strain, such funding has been released incrementally based on modifications to the 2024 ATI-RRPV Contract as certain milestones are attained. As of the date of this report, the total amount of funding available for payment under the 2024 ATI-RRPV Contract is approximately $316.0 million.</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anticipate that a significant portion of the funding to further develop our COVID-19 vaccine candidate will come from the remaining amounts to be received under the 2024 ATI-RRPV Contract, which provides that the government has the right to determine whether to fund the continued performance of the study after the initial funding. In February 2025, we received written notification directing the Company to stop work on the 2024 ATI-RRPV Contract, with limited exceptions, which was subsequently lifted in April 2025. In August 2025, we received a second stop work order directing the Company to stop work on screening and enrollment for the 10,000-person cohort of the Phase 2b clinical study, followed by an October 2025 notice indicating that BARDA intends to conclusively delimit the project agreement to exclude such work from the 2024 ATI-RRPV Contract, though we may continue efforts associated with the per protocol follow-up of all participants dosed as of the notification date. As of the August notification date, we had enrolled approximately half of the targeted number of participants for the study. On March 10, 2026, we entered into Modification No. 6 to the 2024 ATI-RRPV Contract, which increased the total amount of funding available for payment to approximately $316.0 million. We anticipate that BARDA may further increase funding and/or re-expand the cohort under the 2024 ATI-RRPV Contract; however, there can be no assurance that stop work orders or similar actions will not occur in the future. Even as we continue to receive funds under the 2024 ATI-RRPV Contract, the terms of the grant may unfavorably change, or the amount of funding may decrease. If there is any government decision to discontinue funding under the 2024 ATI-RRPV Contract, our revenues and cash flows would be significantly and negatively impacted and we may be forced to seek alternative sources of funding, which may not be available on non-dilutive terms, terms favorable to us, or at all.</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development of a norovirus vaccine candidate and a coronavirus vaccine candidate is at an early stage. We may be unable to produce an effective vaccine that successfully immunizes humans against norovirus or an effective vaccine that successfully immunizes humans against coronavirus in a timely manner, if at all.</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in the business of developing oral vaccines that are administered by tablet rather than by injection. Our development of the norovirus vaccine and a coronavirus vaccine is at an early stage, and we may be unable to produce an effective vaccine that successfully immunizes humans against norovirus or an effective vaccine that successfully immunizes humans against coronavirus in a timely manner, if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produce an effective vaccine that successfully immunizes against norovirus or coronavirus in a timely manner, if at all.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pursuing clinical development of vaccine candidates, employing our proprietary oral vaccine platform. While we have begun the Phase 2b clinical trial of our coronavirus vaccine candidate, none of our product candidates has advanced into late-stage clinical trials for the indications that we are pursuing development for. As such, clinical studies of our vaccine candidates may not be completed in a timely manner, and we may not be able to produce an effective vaccine that successfully immunizes against norovirus or coronavirus any time soon, if at all.</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if we complete our clinical trials as planned and our vaccine candidates successfully demonstrate safety and efficacy, we cannot predict the probability or timing of subsequently obtaining regulatory approval. Regulatory agencies may not complete their review processes in a timely manner, and we may not be able to obtain timely regulatory approval, if at all. Further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Delays or failure to obtain necessary regulatory approvals in time could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likelihood and timing of our success further depends on our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performance and our ability to maintain relationships with them.</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are unsuccessful in maintaining our relationships with critical third parties such as CROs and CMOs, our ability to develop our oral norovirus vaccine candidate or our oral coronavirus vaccine candidate and consequently compete in the marketplace could be impaired, and our results of operations may suffer. Even if we are successful, we cannot assure you that these relationships will result in successful development and commercialization of our oral norovirus vaccine candidate. Our failure, or the failure of such partners or potential partners, to comply with applicable regulations could result in sanctions being imposed on us, including clinical holds, delays, suspension or withdrawal of approval to conduct clinical investigations, license revocation, operating restrictions and criminal prosecutions, any of which could significantly and adversely affect supplies of our potential norovirus vaccine.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Manufacturing any drug product with recombinant technology such as our adenovirus type 5 based vaccines presents technical challenges. Our manufacturing partners may not be able to successfully manufacture any vaccine with our VAAST platform, or to comply with cGMP, regulations or similar regulatory requirements. The number of doses of our potential vaccine that we are able to produce is dependent on our ability to successfully and rapidly scale-up manufacturing capacity. The number of doses that we will be able to produce is also dependent in large part on the dose of the vaccine required to be administered to patients which will be determined in our clinical trials. To properly scale-up and develop a commercial process, we may need to expend significant resources, expertise, and capital.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Scale up can present problems such as difficulties with production costs and yields, quality control, including stability of the product candidate and quality assurance testing, shortages of qualified personnel or key raw materials, and compliance with strictly enforced federal, state, and foreign regulations. Our contract manufacturers may not perform as agreed. If any manufacturer encounters these or other difficulties, our ability to provide product candidates to patients in our clinical trials could be jeopardized.</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fund our operations, and if we fail to obtain necessary financing, we may not be able to complete the development and commercialization of our tablet vaccine candidates.</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expect to spend substantial amounts to complete the development of, seek regulatory approvals for and commercialize our tablet vaccine candidates. We will require substantial additional capital to complete the development and potential commercialization of our tablet vaccine candidates for norovirus, coronavirus, influenza and HPV and the development of other product candidates. If we are unable to raise capital or find appropriate partnering or licensing collaborations, when needed or on acceptable terms, we could be forced to delay, reduce or eliminate one or more of our development programs or any future commercialization efforts. In addition, attempting to secure additional financing may divert the time and attention of our management from day-to-day activities and harm our development efforts.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2025, we had $63.8 million of cash, cash equivalents and investments. We maintain our cash, cash equivalents and investments with high quality, accredited financial institutions. However, some of these accounts exceed federally insured limits, and, while we believe the Company is not exposed to significant credit risk due to the financial strength of these depository institutions or investments, the failure or collapse of one or more of these depository institutions or default on these investments could materially adversely affect our ability to recover these assets and/or materially harm our financial condition.</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we believe such cash, cash equivalents and investments are sufficient to fund our operations under our current operating plan for at least one year from the date of issuance of this Annual Report, our estimate as to what we will be able to accomplish is based on assumptions that may prove to be inaccurate, and we could exhaust our available capital resources sooner than is currently expected. Because the length of time and activities associated with successful development of our product candidates is highly uncertain, we are unable to estimate the actual funds we will require for development and any approved marketing and commercialization activities. Our future funding requirements, both near and long-term, will depend on many factors, including, but not limited to:</w:t>
      </w:r>
    </w:p>
    <w:p>
      <w:pPr>
        <w:spacing w:after="0" w:line="18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partnering and collaboration agreements;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planned clinical trials;</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the European Medicines Agency, or EMA,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any patent infringement actions brought by third parties against us now or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in regions where we choose to commercialize our product candidates on our own;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results of the commercialization of our product candidates, if approved, for commercial sale.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If we are unable to raise additional capital in sufficient amounts or on terms acceptable to us, we may have to significantly delay, scale back or discontinue the development or commercialization of our product candidates or potentially discontinue operations.</w:t>
      </w:r>
    </w:p>
    <w:p>
      <w:pPr>
        <w:spacing w:after="0" w:line="172"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Until such time, if ever, as we can generate substantial product revenues, we expect to finance our cash needs through a combination of equity offerings, royalties, debt financings, government programs, strategic alliances and license and development agreements in connection with any collaborations. We do not currently have any committed external source of funds. To the extent that we raise additional capital by issuing equity securities, our existing stockholders’ ownership may experience substantial dilution, and the terms of these securities may include liquidation or other preferences that adversely affect our common stockholders’ rights. Debt financing and preferred equity financing, if available, may involve agreements that include covenants limiting or restricting our ability to take specific actions, such as incurring additional debt, making capital expenditures, declaring dividends, creating liens, redeeming our stock or making investments.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through collaborations, strategic alliances or marketing, distribution or licensing arrangements with third parties on acceptable terms, we may be required to delay, limit, reduce or terminate our product development or future commercialization efforts or grant rights to develop and market product candidates that we would otherwise develop and market ourselves.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volatile and fluctuates substantially, which could result in substantial losses for stockholders.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As a result of this volatility, our stockholders could incur substantial losses.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your initial purchase price.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price for our common stock may be influenced by many factors, including the results of clinical trials of our products or those of our competitors, regulatory or legal developments, developments, disputes, or other matters concerning patent applications, issued patents, or other proprietary rights, our ability to recruit and retain key personnel, public announcements by us or our strategic collaborators regarding the progress of our development candidates similar public announcements by our competitors, and other factors set forth in this document and our other reports filed with the SEC.</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public statements by us, government agencies, the media or others relating to the SARS-CoV-2 outbreak (including regarding efforts to develop a COVID-19 vaccine) have in the past resulted, and may in the future result, in significant fluctuations in our stock price. Given the global focus on the coronavirus outbreak, any information in the public arena on this topic, whether or not accurate, could have an outsized impact (either positive or negative) on our stock price. Information related to our development, manufacturing and distribution efforts with respect to our vaccine candidates, or information regarding such efforts by competitors with respect to their potential vaccines, may also impact our stock price.</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stock price is likely to continue to be volatile and subject to significant price and volume fluctuations in response to market and other factors, including: the other factors discussed in our filings incorporated by reference herein or in future periodic reports; variations in our quarterly operating results from our expectations or those of securities analysts or investors; downward revisions in securities analysts’ estimates; and announcement by us or our competitors of significant acquisitions, strategic partnerships, joint ventures or capital commitments.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prices for securities of early-stage pharmaceutical, biotechnology and other life sciences companies have historically been particularly volatile.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cause the market price of our common stock to fluctuate include:</w:t>
      </w:r>
    </w:p>
    <w:p>
      <w:pPr>
        <w:spacing w:after="0" w:line="20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 and conduct clinical trials that demonstrate our product candidates are safe and effective;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receive royalty payments on the sales of our product candidates including Inavir;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our product candidates, and delays or failures to obtain such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 candidates to demonstrate safety and efficacy, receive regulatory approval and achieve commercial success;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third-party license, manufacturing and supply agreements;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that of our licensors, to prosecute, maintain, or enforce our intellectual property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adequate supply of product candidates or the inability to do so at acceptable prices;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authority decisions;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or competing products by our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that we may provide to the public;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252"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stockholder litigation;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us, or if they issue adverse or misleading opinions regarding our business and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existing stockholders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generally, including with respect to other products and potential products in such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been delisted from The Nasdaq Capital Market. There can therefore be no assurance that it will trade on a national exchange again.</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July 8, 2025, Nasdaq suspended trading in our common stock and subsequently informed the Company on September 19, 2025, that the Company’s common stock will be delisted from The Nasdaq Capital Market due to the Company’s ongoing failure to comply with the minimum bid price requirement under Nasdaq Listing Rule 5550(a)(2). Vaxart, Inc. was formally delisted from Nasdaq following a final determination by the Nasdaq's Listing Qualifications Department on November 3, 2025. Our common stock is currently quoted on the OTCQX under the ticker symbol “VXRT.” We can provide no assurance that our common stock will continue to trade on this market, whether broker-dealers will continue to provide public quotes for our common stock, and whether the trading volume of our common stock will be sufficient to provide for an efficient trading market in the future. Stocks trading in the OTC Markets generally have substantially less liquidity, hence, decreasing our ability to issue additional securities or obtain additional financing. The National Securities Markets Improvement Act of 1996, which is a federal statute, prevents or preempts the states from regulating the sale of certain securities, which are referred to as “covered securities.” If we are no longer listed on Nasdaq, our securities would not qualify as covered securities under the statute and we would be subject to regulation in each state in which we offer our securities.</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a pandemic, epidemic, or outbreak of an infectious disease, such as COVID-19, the severe acute respiratory syndrome, the H5N1 strain of avian influenza, the H1N1 strain of swine flu, and the Zika virus.</w:t>
      </w:r>
    </w:p>
    <w:p>
      <w:pPr>
        <w:spacing w:after="0" w:line="15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 occurrence of a pandemic, epidemic, or outbreak of an infectious disease, including, but not limited to, COVID-19, the severe acute respiratory syndrome, the H5N1 strain of avian influenza, the H1N1 strain of swine flu, and the Zika virus, is highly uncertain and cannot be predicted with confidence, including the duration, scope, and severity of such event. These severe conditions may cause us and our business partners to make adjustments, such as temporarily closing down business, limiting business hours, and setting restrictions on travel. In regions where we have concentrations of clinical trial sites or other business activities, our business could be adversely affected by health epidemics, which could cause significant disruption in the operations of third-party contract manufacturers and contract research organizations upon whom we rely, as well as our ability to recruit patients for our clinical trials. Any of the forgoing disruptions to our business can result in material adverse effects to our financial condition and results of operations.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outbreak and any preventative or protective actions that governments or we may take in respect of any epidemic may result in a period of business disruption and reduced operations. Any resulting financial impact cannot be reasonably estimated at this time but may materially affect our business, financial condition and results of operations. The extent to which an epidemic impacts our results will depend on future developments, which are highly uncertain and cannot be predicted, including new information which may emerge concerning the severity of an epidemic and the actions to contain the epidemic or treat its impact, among others. There may be interruptions to our supply chain due to the inability of manufacturers to continue normal business operations and to ship products. In addition, a significant outbreak of an infectious disease could result in a widespread health crisis that could adversely affect the economies and financial markets worldwide, resulting in an economic downturn that could impact our business, financial condition and results of operations. We are currently working to enhance our business continuity plans to include measures to protect our employees in the event of infection in our corporate offices, or in response to potential mandatory quarantines.</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military conflicts could cause geopolitical instability, economic uncertainty, financial markets volatility and capital markets disruption may adversely affect our revenue, financial condition, or results of operations.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Current military conflicts may disrupt or otherwise adversely impact our operations and those of third parties upon which we rely. Related sanctions, export controls or other actions that have already been initiated or may in the future be initiated by nations including the U.S., the European Union or Russia (e.g., potential cyberattacks, disruption of energy flows, etc.) can adversely affect our business, our contract research organizations, contract manufacturing organizations and other third parties with which we conduct business. Resulting volatility, disruption, or deterioration in the credit and financial markets may further make any necessary debt or equity financing more difficult and more costly.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be adversely impacted by deteriorating economic conditions, which could directly affect our ability to attain our operating goals and to accurately forecast and plan our future business activities.</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adequate reimbursement and insurance coverage for our product candidates, our ability to generate significant revenue could be limited.</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payors is essential for most patients to be able to afford expensive treatments. Sales of any of our product candidates that receive marketing approval will depend substantially, both in the U.S.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on a limited basis,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level of reimbursement for our products is likely to be reduced compared with the U.S. and may be insufficient to generate commercially reasonable revenues and profits.</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internationally, to cap or reduce healthcare costs may cause such organizations to limit both coverage and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executive officers and attract, retain and motivate qualified personnel.</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rely on our executive officers and the other principal members of the executive and scientific teams. The employment of our executive officers is at-will and our executive officers may terminate their employment at any time. The loss of the services of any of our senior executive officers could impede the achievement of our research, development and commercialization objectives. We do not maintain “key person” insurance for any executive officer or employee.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scientific, clinical and sales and marketing personnel is also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Our industry has experienced an increasing rate of turnover of management and scientific personnel in recent years. In addition, we rely on consultants and advisors, including scientific and clinical advisors, to assist us in devising our research and development and commercialization strategy. Our consultants and advisors may be employed by third parties and have commitments under consulting or advisory contracts with other entities that may limit their availability to advance our strategic objectives. If any of these advisors or consultants can no longer dedicate a sufficient amount of time to us, our business may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organization, and may experience difficulties in managing this growth, which could disrupt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continue to earn royalties and compete effectively will depend, in part, on our ability to effectively manage any future growth. As of December 31, 2025, we had 65 employees, which we believe would be insufficient to commercialize our vaccine product candidates. We may have operational difficulties in connection with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our product candidates. If we are unable to effectively manage our growth, our expenses may increase more than expected, our ability to generate and/or grow revenues could be reduced, and we may not be able to implement our business strategy.</w:t>
      </w:r>
    </w:p>
    <w:p>
      <w:pPr>
        <w:spacing w:after="0" w:line="19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Many of the other pharmaceutical companies that we compete against for qualified personnel and consultants have greater financial and other resources, different risk profiles and a longer history in the industry than us. They may also provide more diverse opportunities and better chances for career advancement. Some of these characteristics may be more appealing to high-quality candidates and consultants than what we are able to offer. If we are unable to continue to attract and retain high-quality personnel and consultants, the rate and success at which we can select and develop our product candidates and our business will be limited.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legal proceedings, and may be subject to additional legal proceedings, which may result in substantial costs, divert management’s attention and have a material adverse effect on our business, financial condition and results of operations.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currently subject to certain pending legal proceedings, as described in this document. We may become involved in additional legal proceedings relating to the aforementioned matters or, from time to time, we may become involved in legal proceedings involving unrelated matters. Due to the inherent uncertainties in legal proceedings, we cannot accurately predict their ultimate outcome. Our stock price has been extremely volatile, and we may become involved in additional securities class action lawsuits in the future. Any such legal proceedings, regardless of their merit, could result in substantial costs and a diversion of management’s attention and resources that are needed to successfully run our business, could impair the Company’s ability to recruit and retain directors, officers, and other key personnel, could impact its ability to secure financing, insurance, and other transactions (or the terms of any such financings, insurance, or other transactions), and for these and other reasons could have a material adverse impact on our business, financial condition, results of operations, and prospects.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reports about our business, our stock price and trading volume could decline.</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is influenced by independent research and reports that securities or industry analysts publish about us or our business from time to time. If one or more of the analysts who cover us should downgrade our shares or change their opinion of our business prospects, our share price would likely decline.</w:t>
      </w:r>
    </w:p>
    <w:p>
      <w:pPr>
        <w:spacing w:after="0" w:line="172"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light of the COVID-19 pandemic, it is possible that one or more government entities may take actions that directly or indirectly have the effect of abrogating some of our rights or opportunities. If we were to develop a COVID-19 vaccine, the economic value of such a vaccine to us could be limited.</w:t>
      </w:r>
    </w:p>
    <w:p>
      <w:pPr>
        <w:spacing w:after="0" w:line="13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Various government entities, including the U.S. government, are offering incentives, grants and contracts to encourage additional investment by commercial organizations into preventative and therapeutic agents against coronavirus, which may have the effect of increasing the number of competitors and/or providing advantages to known competitors. Accordingly, there can be no assurance that we will be able to successfully establish a competitive market share for our COVID-19 vaccine, if any.</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currently a “smaller reporting company” as defined in the Exchange Act. Smaller reporting companies are able to provide simplified executive compensation disclosures in their filings and have certain other decreased disclosure obligations in their SEC filings. We cannot predict whether investors will find our common stock less attractive because of our reliance on the smaller reporting company exemption. If some investors find our common stock less attractive as a result, there may be a less active trading market for our common stock and our stock price may be more volatile.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Development, Regulatory Approval and Commercialization</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currently no approved vaccines for the prevention of norovirus-related illness. Therefore, the regulatory pathway for any approval of a norovirus vaccine is not entirely clear and may result in unexpected or unforeseen challenges.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there are currently no vaccines for the prevention of norovirus that are approved by the FDA or another regulatory agency, the regulatory pathway for any approval of a norovirus vaccine is not entirely clear and may result in unexpected or unforeseen challenges. Successful discovery and development of a norovirus vaccine is highly uncertain and dependent on numerous factors, many of which are beyond our control. Our development of the vaccine is in early stages, and we may be unable to produce a vaccine that successfully treats the virus in a timely manner, if at all. Results from clinical testing may raise new questions and require us to redesign proposed clinical trials, including revising proposed endpoints or adding new clinical trial sites or cohorts of subjects. In addition, the FDA’s analysis of clinical data may differ from our interpretation and the FDA may require that we conduct additional analyses.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pathway for COVID-19 vaccines is evolving and may result in unexpected or unforeseen challenges.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speed at which all parties are acting to create and test therapeutics and vaccines for COVID-19 is unusual, and evolving or changing plans or priorities within the FDA, including changes based on new knowledge of COVID-19 and how the disease affects the human body, may significantly affect the regulatory timeline for COVID vaccine candidates. Results from clinical testing may raise new questions and require us to redesign proposed clinical trials, including revising proposed endpoints or adding new clinical trial sites or cohorts of subjects. Results from our vaccine (and other COVID-19) trials may require us to perform additional preclinical studies in order to advance our vaccine candidates. Discussions with FDA regarding the design of the anticipated Phase 2 and 3 studies for COVID-19 vaccine candidates are ongoing and important aspects of the trial design have yet to be determined, including the number of patients to be enrolled, the specific endpoints of the trial and the methods for obtaining and testing samples in the trial. The incidence of COVID-19 in the communities where our studies might be conducted will vary across different locations. If the overall incidence of COVID-19 in those locations is low, it may be difficult for us to recruit subjects or for any study we might perform to demonstrate differences in infection rates between participants in the study who receive placebo and participants in the study who receive COVID-19 vaccine candidates. The availability of other authorized vaccines may decrease the population of clinical trial subjects willing to participate in our future trials.</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FDA has the authority to grant an Emergency Use Authorization to allow unapproved medical products to be used in an emergency to diagnose, treat, or prevent serious or life-threatening diseases or conditions when there are no adequate, approved, and available alternatives. If we are granted an Emergency Use Authorization for COVID-19 vaccine candidates, we would be able to commercialize the vaccine candidate prior to FDA approval. Furthermore,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the vaccine candidate is not yet approved by the FDA and if we and our manufacturing partners have invested in the supply chain to provide the vaccine candidate under an Emergency Use Authorization.</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any success in preclinical testing we might observe for our COVID-19 vaccine candidates may not be predictive of the results of later-stage human clinical trials. Factors such as efficacy, immunogenicity, and adverse events can emerge at any time in clinical testing and have the potential to have adverse consequences for our ability to proceed with clinical trials. Other factors such as manufacturing challenges, availability of raw materials, and slowdowns in the global supply chain may delay or prevent us from receiving regulatory approval of our vaccine candidate or, if we do receive regulatory approval, prevent a successful product launch. We may not be successful in developing a vaccine, or another party may be successful in producing a more efficacious vaccine or other treatment for COVID-19.</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dynamics in the market for COVID-19 vaccines are likely to impact our financial results.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the global transition of COVID-19 from pandemic to endemic, the commercial market for COVID-19 vaccines is facing several challenges, including a more fragmented customer base, less predictability in orders, greater seasonality of demand, increased distribution costs, and higher costs of goods sold due to single-dose or lower-dose presentations. Such factors could impact the potential market for our COVID-19 vaccine, if approved. Further, our continued development efforts for our COVID-19 vaccine could face increased research and development costs, including for clinical trials, when updating COVID-19 vaccines for new variants of concern.</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develop and refine the formulations of our tablet vaccine candidates, we may not obtain regulatory approvals, and even if approved, the commercial acceptance of our tablet vaccine candidates would likely be limited.</w:t>
      </w:r>
    </w:p>
    <w:p>
      <w:pPr>
        <w:spacing w:after="0" w:line="159"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color w:val="auto"/>
        </w:rPr>
        <w:t>In our H1N1 influenza Phase 2 trial we used vaccine tablets that contained approximately 1.5 x 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of vaccine. Accordingly, subjects in this trial were required to take seven tablets in a single setting to reach the aggregate dose of 1 x 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the target dose for this trial. We believe that in order to fully capture the commercial success of our seasonal influenza vaccine candidate, we will need to continue to refine our formulation and develop influenza vaccine tablets that contain the desired dose for each vaccine strain in a single tablet, resulting in a vaccination regime of no more than three tablets. Increasing the potency of the vaccine tablets may affect the stability profile of the vaccine and we may not be able to reduce the vaccination regime for an influenza strain to a single tablet or combine the three influenza strains into one vaccine tablet. In addition, increasing the potency of the vaccine tablets or combining the influenza strains necessary to create a trivalent vaccine may adversely affect manufacturing yields and render such tablets too costly to manufacture at commercial scale. Our efforts to develop tablet vaccine candidates for norovirus face similar formulation challenges. If we are unable to further develop and refine the formulations of our tablet vaccine candidates, we may be unable to obtain regulatory approval from the FDA or other regulatory authorities, and even if approved, the commercial acceptance of our tablet vaccine candidates would likely be limited.</w:t>
      </w:r>
    </w:p>
    <w:p>
      <w:pPr>
        <w:spacing w:after="0" w:line="194"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Clinical trials are very expensive, time-consuming, difficult to design and implement and involve an uncertain outcome, and if they fail to demonstrate safety and efficacy to the satisfaction of the FDA, or similar regulatory authorities, we will be unable to commercialize our tablet vaccine candidates.</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tablet vaccine candidates for norovirus, coronavirus and influenza are still in early-stage clinical development. Our vaccine candidates will require extensive additional clinical testing before we are prepared to submit a BLA for regulatory approval for either indication or for any other treatment regime. Such testing is expensive and time-consuming and requires specialized knowledge and expertise. We cannot predict with any certainty if or when we might submit a BLA for regulatory approval for any of our tablet vaccine candidates, which are currently in clinical development, or whether any such BLAs will be approved by the FDA. Human clinical trials are very expensive and difficult to design and implement, in part because they are subject to rigorous regulatory requirements. For instance, the FDA may not agree with our proposed endpoints for any clinical trial we propose, which may delay the commencement of our clinical trials. The clinical trial process is also time-consuming. We estimate that the clinical trials we need to conduct to be in a position to submit BLAs for our tablet vaccine candidates for norovirus, coronavirus and influenza will take several years to complete. Furthermore, failure can occur at any stage of the trials, and we could encounter problems that cause us to abandon or repeat clinical trials. Our vaccine candidates in the later stages of clinical trials may fail to show the desired safety and efficacy traits despite having progressed through preclinical studies and initial clinical trials. Also, the results of early clinical trials of the tablet vaccine candidates for norovirus, coronavirus and influenza may not be predictive of the results of subsequent clinical trials. Furthermore, the FDA may impose additional requirements to conduct preclinical studies to advance the HPV therapeutic vaccine candidates which could delay initiation of Phase 1 studies. A number of companies in the biopharmaceutical industry have suffered significant setbacks in advanced clinical trials due to lack of efficacy or adverse safety profiles, notwithstanding promising results in earlier trials.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multiple interpretations and analyses. Many companies that have believed their vaccine candidates performed satisfactorily in preclinical studies and clinical trials have nonetheless failed to obtain marketing approval of their products. Additionally, success in preclinical testing and early clinical trials does not ensure success in later clinical trials, which involve many more subjects and, for influenza, all three strains rather than the one strain we have studied in Phase 1 clinical trials to date. Accordingly, the results of later clinical trials may not replicate the results of prior clinical trials and preclinical testing or may be interpreted in a way that may not be sufficient for marketing approval.</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tablet vaccine candidates, including that:</w:t>
      </w:r>
    </w:p>
    <w:p>
      <w:pPr>
        <w:spacing w:after="0" w:line="162" w:lineRule="exact"/>
        <w:rPr>
          <w:sz w:val="20"/>
          <w:szCs w:val="20"/>
          <w:color w:val="auto"/>
        </w:rPr>
      </w:pPr>
    </w:p>
    <w:p>
      <w:pPr>
        <w:ind w:left="660" w:right="4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delay or not authorize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or CROs;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tablet vaccine candidates may produce negative or inconclusive results, and we may decide, or regulators may require us, to conduct additional clinical trials or abandon product development programs;</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our tablet vaccine candidates may be larger than we anticipate; enrollment in these clinical trials may be slower than we anticipate, or participants may drop out of these clinical trials at a higher rate than we anticipate;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or meet their contractual obligations to us in a timely manner, or at all;</w:t>
      </w:r>
    </w:p>
    <w:p>
      <w:pPr>
        <w:spacing w:after="0" w:line="263" w:lineRule="exact"/>
        <w:rPr>
          <w:rFonts w:ascii="Times New Roman" w:cs="Times New Roman" w:eastAsia="Times New Roman" w:hAnsi="Times New Roman"/>
          <w:sz w:val="17"/>
          <w:szCs w:val="17"/>
          <w:color w:val="auto"/>
        </w:rPr>
      </w:pPr>
    </w:p>
    <w:p>
      <w:pPr>
        <w:ind w:left="660" w:right="2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tablet vaccine candidates may be greater than we anticipate;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tablet vaccine candidates or other materials necessary to conduct clinical trials may be insufficient or inadequate.</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tablet vaccine candidates beyond those that we currently contemplate, if we are unable to successfully complete clinical trials of our tablet vaccine candidates or other testing, if the results of these trials or tests are not positive or are only modestly positive or if there are safety concerns, we may:</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tablet vaccine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5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Product development costs will also increase if we experience delays in testing or in receiving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tablet vaccine candidates, could allow our competitors to bring products to market before we do, and could impair our ability to successfully commercialize our tablet vaccine candidates, any of which may harm our business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resurgence of the COVID-19 pandemic or the emergence of another public health emergency/pandemic could adversely impact our preclinical studies and clinical trials.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active and planned preclinical studies and clinical trial sites in the U.S.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both COVID-19 and countermeasures have abated to some degree, there can be no assurance that the COVID-19 pandemic will not cause disruptions to our business development activities, including our clinical trials. In the event of a resurgence of the COVID-19 pandemic or emergence of another public health emergency, we may experience disruptions that could severely impact our planned and ongoing preclinical studies and clinical trials, including preclinical and clinical studies and manufacturing of our vaccine candidates. Effects on our preclinical studies and clinical trial programs include, but are not limited to:</w:t>
      </w:r>
    </w:p>
    <w:p>
      <w:pPr>
        <w:spacing w:after="0" w:line="18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procuring subjects in our preclinical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preclinical and clinical site initiation, including difficulties in establishing appropriate and safe social distancing and other safeguards at preclinical and clinical sites;</w:t>
      </w:r>
    </w:p>
    <w:p>
      <w:pPr>
        <w:spacing w:after="0" w:line="16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preclinical and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preclinical study and clinical trial activities, such as preclinical and clinical trial site monitoring, subject recruitment and subject testing due to the course of the pandemic, limitations on freight and/or travel imposed or recommended by federal or state governments, employers and others;</w:t>
      </w:r>
    </w:p>
    <w:p>
      <w:pPr>
        <w:spacing w:after="0" w:line="17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preclinical studies and clinical trials, including because of sickness of employees or their families, delays or difficulties in conducting site visits and other required travel, and the desire of employees to avoid contact with large groups of people;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or continue our planned preclinical studies and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or other countries;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vaccine products or COVID-19 treatments and related technologies.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 patient participating in one of our clinical trials contracts COVID-19, this could negatively impact the data readouts from these trials; for example, the patient may be unable to participate further (or may have to limit participation) in our clinical trial, the patient may show a different efficacy assessment than if the patient had not been infected, or such patient could experience an adverse event that could be attributed to our drug product.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extent to which COVID-19 may impact our preclinical studies and clinical trials will depend on future developments, which remains highly uncertain and cannot be predicted with confidence.</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platform includes a novel vaccine adjuvant and all of our current tablet vaccine candidates include this novel adjuvant, which may make it difficult for us to predict the time and cost of tablet vaccine development as well as the requirements the FDA or other regulatory agencies may impose to demonstrate the safety of the tablet vaccine candidates.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Novel vaccine adjuvants, included in some of our tablet vaccine candidates, may pose an increased safety risk to patients. Adjuvants are compounds that are added to vaccine antigens to enhance the activation and improve immune response and efficacy of vaccines. Development of vaccines with novel adjuvants requires evaluation in larger numbers of patients prior to approval than would be typical for therapeutic drugs. Guidelines for evaluation of vaccines with novel adjuvants have been established by the FDA and other regulatory bodies and expert committees. Our current tablet vaccine candidates, including for norovirus, include a novel adjuvant, and future vaccine candidates may also include one or more novel vaccine adjuvants. Any vaccine, because of the presence of an adjuvant, may have side effects considered to pose too great a risk to patients to warrant approval of the vaccine. Traditionally, regulatory authorities have required extensive study of novel adjuvants because vaccines typically get administered to healthy populations, in particular infants, children and the elderly, rather than to people with disease. Such extensive study has often included long-term monitoring of safety in large general populations that has at times exceeded 10,000 subjects. This contrasts with the few thousand subjects typically necessary for approval of novel therapeutics. To date, the FDA and other major regulatory agencies have only approved vaccines containing five adjuvants, which makes it difficult to determine how long it will take or how much it will cost to obtain regulatory approvals for our tablet vaccine candidates in the U.S. or elsewhere.</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subjects in clinical trials is an expensive and time-consuming process and could be made more difficult or rendered impossible by multiple factors outside our control.</w:t>
      </w:r>
    </w:p>
    <w:p>
      <w:pPr>
        <w:spacing w:after="0" w:line="1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may encounter delays in enrolling, or be unable to enroll, a sufficient number of participants to complete any of our clinical trials. Once enrolled, we may be unable to retain a sufficient number of participants to complete any of our trials. Late-stage clinical trials of our tablet vaccine candidate</w:t>
      </w:r>
    </w:p>
    <w:p>
      <w:pPr>
        <w:ind w:right="60"/>
        <w:spacing w:after="0" w:line="252" w:lineRule="auto"/>
        <w:rPr>
          <w:sz w:val="20"/>
          <w:szCs w:val="20"/>
          <w:color w:val="auto"/>
        </w:rPr>
      </w:pPr>
      <w:r>
        <w:rPr>
          <w:rFonts w:ascii="Times New Roman" w:cs="Times New Roman" w:eastAsia="Times New Roman" w:hAnsi="Times New Roman"/>
          <w:sz w:val="18"/>
          <w:szCs w:val="18"/>
          <w:color w:val="auto"/>
        </w:rPr>
        <w:t>for norovirus and coronavirus, in particular, will require the enrollment and retention of large numbers of subjects. Subject enrollment and retention in clinical trials depends on many factors, including the size of the subject population, the nature of the trial protocol, the existing body of safety and efficacy data with respect to the study drug, the number and nature of competing treatments and ongoing clinical trials of competing drugs for the same indication, the proximity of subjects to clinical sites and the eligibility criteria for the study. Further, since there are no reliable animal models to norovirus infection, human challenge studies have been used to understand viral activity and possible immune correlates that prevent infection making trials costlier than animal-based studies.</w:t>
      </w:r>
    </w:p>
    <w:p>
      <w:pPr>
        <w:spacing w:after="0" w:line="1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Furthermore, any negative results we may report in clinical trials of our tablet vaccine candidates may make it difficult or impossible to recruit and retain participants in other clinical trials of that same tablet vaccine candidate. Delays or failures in planned subject enrollment or retention may result in increased costs, program delays or both, which could have a harmful effect on our ability to develop our tablet vaccine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 in compliance with applicable regulations. Enforcement actions brought against these third parties may cause further delays and expenses related to our clinical development programs.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Vaccine development is highly competitive and subject to rapid and significant technological advancements. We face competition from various sources, including larger and better funded pharmaceutical, specialty pharmaceutical and biotechnology companies, as well as academic institutions, governmental agencies and public and private research institutions. In particular, our COVID-19 and influenza vaccine candidates would compete with products that are available and have gained market acceptance as the standard treatment protocol. Further, it is likely that additional drugs or other treatments will become available in the future for the treatment of the diseases we are targeting.</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tablet vaccines, we face competition from approved vaccines, against which new tablet vaccines must demonstrate compelling advantages in efficacy, convenience, tolerability and safety, and from competitors working to patent, discover, develop or commercialize medicines before we can do the same with tablet vaccines.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products for the treatment of diseases, as well as in obtaining regulatory approvals of those products in the U.S. and in foreign countries.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Competition may increase further as a result of advances in the commercial applicability of technologies and greater availability of capital for investment in these industries. Our competitors may succeed in developing, acquiring or licensing, on an exclusive basis, drugs that are more effective or less costly than any tablet vaccine candidate that we may develop.</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will face competition from other drugs currently approved or that will be approved in the future for the treatment of the other infectious diseases we are currently targeting. Therefore, our ability to compete successfully will depend largely on our ability to:</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tablet vaccine candidates that are superior to other vaccines in the market;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tablet vaccine candidates are differentiated from existing and future 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vaccine development and commercial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tablet vaccine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independently or with collaborators, new tablet vaccine candidates.</w:t>
      </w:r>
    </w:p>
    <w:p>
      <w:pPr>
        <w:spacing w:after="0" w:line="24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availability of our competitors’ vaccines could limit the demand, and the price we are able to charge, for any tablet vaccine candidate we develop. The inability to compete with existing or subsequently introduced vaccines would have an adverse impact on our business, financial condition and prospects.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any of our tablet vaccine candidates less competitive. In addition, any new vaccine that competes with an approved vaccine must demonstrate compelling advantages in efficacy, convenience, tolerability and safety in order to overcome price competition and to be commercially successful. Accordingly, our competitors may succeed in obtaining patent protection, discovering, developing, receiving the FDA’s approval for or commercializing medicines before we do, which would have an adverse impact on our business and results of operations.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intense competition to develop new technologies and proprietary products. While we believe that our proprietary tablet vaccine candidates provide competitive advantages, we face competition from many different sources, including biotechnology and pharmaceutical companies, academic institutions, government agencies, as well as public and private research institutions. Any products that we may commercialize will have to compete with existing products and therapies as well as new products and therapies that may become available in the future.</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are other organizations working to improve existing therapies, vaccines or delivery methods, or to develop new vaccines, therapies or delivery methods for their selected indications. Depending on how successful these efforts are, it is possible they may increase the barriers to adoption and success of our vaccine candidates, if approved.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anticipate that we will face intense and increasing competition as new vaccines enter the market and advanced technologies become available. We expect any tablet or other oral delivery vaccine candidates that we develop and commercialize to compete on the basis of, among other things, efficacy, safety, convenience of administration and delivery, price, availability of therapeutics, the level of generic competition and the availability of reimbursement from government and other third-party payors.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 vaccine candidates, which could result in our competitors establishing a strong market position before we are able to enter the market. In addition, our ability to compete may be affected in many cases by insurers or other third-party payors seeking to encourage the use of generic products.</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January 2026, there are no vaccines approved by the FDA or other global regulatory agencies for the prevention of norovirus. We are aware that Moderna, Inc. and Merck, Inc. are developing norovirus vaccines that would be delivered by injection. Other companies reporting development of a norovirus vaccine candidate are Anhui Zhifei Longcom Biopharmaceutical Co. Ltd., Chongqing Zhifei Biological Products Co., Ltd., and the National Vaccine and Serum Institute of China. In addition, we are aware of Cocrystal Pharma, Inc. reporting development of an oral antiviral for norovirus. There may be other development programs that we are not aware of.</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is significant competition in the COVID-19 vaccine market. Pfizer-BioNTech’s COVID-19 vaccine, Moderna’s COVID-19 vaccine and Novavax’s COVID-19 vaccine have been approved in the U.S. and many countries around the world.</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tablet vaccine candidates may cause adverse effects or have other properties that could delay or prevent their regulatory approval or limit the scope of any approved label or market acceptance.</w:t>
      </w:r>
    </w:p>
    <w:p>
      <w:pPr>
        <w:spacing w:after="0" w:line="15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Adverse events caused by our tablet vaccine candidates could cause reviewing entities, clinical trial sites or regulatory authorities to interrupt, delay or halt clinical trials and could result in the denial of regulatory approval. If an unacceptable frequency or severity of adverse events are reported in clinical trials for our tablet vaccine candidates, our ability to obtain regulatory approval for such tablet vaccine candidates may be negatively impacted.</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Furthermore, if any of our tablet vaccines are approved and then cause serious or unexpected side effects, a number of potentially significant negative consequences could result, including:</w:t>
      </w:r>
    </w:p>
    <w:p>
      <w:pPr>
        <w:spacing w:after="0" w:line="162" w:lineRule="exact"/>
        <w:rPr>
          <w:sz w:val="20"/>
          <w:szCs w:val="20"/>
          <w:color w:val="auto"/>
        </w:rPr>
      </w:pPr>
    </w:p>
    <w:p>
      <w:pPr>
        <w:ind w:left="660" w:right="5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tablet vaccine candidates or impose restrictions on their distribution or other risk management measures;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our tablet vaccine candidates are administered or to conduct additional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injuries sustained by patients;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the Vaccine Injury Compensation Program;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elect to discontinue the sale of our tablet vaccine candidates;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tablet vaccine candidate and could substantially increase the costs of commercialization.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staffing limitations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or modifications to approved drugs or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we will not be able to commercialize, or will be delayed in commercializing, our tablet vaccine candidates, and our ability to generate significant revenue will be impaired.</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tablet vaccine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U.S. and by comparable authorities in other countries. Failure to obtain marketing approval for a tablet vaccine candidate will prevent us from commercializing the tablet vaccine candidate. We have not received approval to market any of our tablet vaccine candidates from regulatory authorities in any jurisdiction. We have only limited experience in filing and supporting the applications necessary to gain marketing approvals and expect to rely on CROs to assist us in this process. Securing regulatory approval requires the submission of extensive preclinical and clinical data and supporting information to the various regulatory authorities for each therapeutic indication to establish the tablet vaccine candidate’s safety and efficacy. Securing regulatory approval also requires the submission of information about the product manufacturing process to, and inspection of manufacturing facilities by, the relevant regulatory authority. Our tablet vaccine candidates may not be effective, may be only moderately effective or may prove to have undesirable or unintended side effects, toxicities or other characteristics that may preclude us obtaining marketing approval or prevent or limit commercial use.</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elsewhere, is expensive, may take many years and can vary substantially based upon a variety of factors, including the type, complexity and novelty of the tablet vaccine candidates involved. We cannot be sure that we will ever obtain any marketing approvals in any jurisdiction.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or other studies, and clinical trials. In addition, varying interpretations of the data obtained from preclinical testing and clinical trials could delay, limit or prevent marketing approval of a tablet vaccine candidate. Additionally, any marketing approval we ultimately obtain may be limited or subject to restrictions or post-approval commitments that render the approved product not commercially viable.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in the United States, we may never obtain approval for or commercialize our tablet vaccine candidates in any other jurisdiction, which would limit our ability to realize each product’s full market potential.</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order to market any of our tablet vaccine candidates in a particular jurisdiction, we must establish and comply with numerous and varying regulatory requirements on a country-by-country basis regarding safety and efficacy. Approval by the FDA in the U.S.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tablet vaccine candidate testing and validation and additional administrative review periods. Seeking foreign regulatory approval could result in difficulties and costs for us and require additional preclinical studies or clinical trials which could be costly and time consuming. Regulatory requirements can vary widely from country to country and could delay or prevent the introduction of our tablet vaccine candidates in those countries. We do not have any tablet vaccine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tablet vaccine candidate we develop will be unrealized.</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we will still face extensive ongoing regulatory requirements and our tablet vaccine candidates may face future development and regulatory difficulties.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tablet vaccine candidate for which we obtain marketing approval, along with the manufacturing processes, post-approval clinical data, labeling, packaging, distribution, adverse event reporting, storage, recordkeeping, export, import, advertising and promotional activities for such tablet vaccine candidate, among other things, will be subject to extensive and ongoing requirements of and review by the FDA and other regulatory authorities. These requirements include submissions of safety, efficacy and other post-marketing information and reports, establishment registration and drug listing requirements, continued compliance with current Good Manufacturing Practice, or cGMP, requirements relating to manufacturing, quality control, quality assurance and corresponding maintenance of records and documents, requirements regarding the distribution of samples to physicians and recordkeeping and current good clinical practice, or GCP, requirements for any clinical trials that we conduct post-approval. Even if marketing approval of a tablet vaccine candidate is granted, the approval may be subject to limitations on the indicated uses for which the tablet vaccine candidates may be marketed or to the conditions of approval. If a tablet vaccine candidate receives marketing approval, the accompanying label may limit the approved use of that tablet vaccine, which could limit sales.</w:t>
      </w:r>
    </w:p>
    <w:p>
      <w:pPr>
        <w:spacing w:after="0" w:line="194"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and/or efficacy of our tablet vaccine candidates.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tablet vaccine candidates for their approved indications, we may be subject to enforcement action for off-label marketing. Violations of the Federal Food, Drug, and Cosmetic Act relating to the promotion of prescription drugs may lead to FDA enforcement actions and investigations alleging violations of federal and state health care fraud and abuse laws, as well as state consumer protection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tablet vaccine candidates, manufacturers or manufacturing processes, or failure to comply with regulatory requirements, may yield various results, including:</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tablet vaccine candidate;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tablet vaccine candidate;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tablet vaccine distribution or use;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tablet vaccine candidate from the market;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such tablet vaccine candidate;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such tablet vaccine candidate;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tablet vaccine candidate seizure;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any of our tablet vaccine candidates. If we are slow or unable to adapt to changes in existing requirements or the adoption of new requirements or policies, or if we are not able to maintain regulatory compliance, we may lose any marketing approval that we may have obtained.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tablet vaccine candidates receive marketing approval, they may fail to achieve market acceptance by physicians, patients, third-party payors or others in the medical community necessary for commercial success.</w:t>
      </w:r>
    </w:p>
    <w:p>
      <w:pPr>
        <w:spacing w:after="0" w:line="1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our tablet vaccine candidates, including our vaccine for coronavirus and norovirus, receive marketing approval, they may nonetheless fail to gain sufficient market acceptance by physicians, patients, third-party payors and others in the medical community. If they do not achieve an adequate level of acceptance, we may not generate significant revenues and become profitable. The degree of market acceptance, if approved for commercial sale, will depend on a number of factors, including but not limited to:</w:t>
      </w:r>
    </w:p>
    <w:p>
      <w:pPr>
        <w:spacing w:after="0" w:line="18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tablet vaccine candidates for sale at competitive prices;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52"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medical community to offer customers our tablet vaccine candidate option in addition to, or in the place of, injectable vaccines;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tablet vaccine together with other medications.</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Because we expect sales of our tablet vaccine candidate for coronavirus and/or norovirus, if approved, to generate substantially all of our revenues for the foreseeable future, the failure of these tablet vaccines to achieve market acceptance would harm our business and could require us to seek additional financing sooner than we would otherwise plan.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state and federal healthcare regulatory laws, we could face substantial penalties, damages, fines, disgorgement, exclusion from participation in governmental healthcare programs, and the curtailment of our operations, any of which could harm our business.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we do not provide healthcare services or submit claims for third-party reimbursement, we are subject to healthcare fraud and abuse regulation and enforcement by federal and state governments, which could significantly impact our business. The laws that may affect our ability to operate include, but are not limited to:</w:t>
      </w:r>
    </w:p>
    <w:p>
      <w:pPr>
        <w:spacing w:after="0" w:line="176" w:lineRule="exact"/>
        <w:rPr>
          <w:sz w:val="20"/>
          <w:szCs w:val="20"/>
          <w:color w:val="auto"/>
        </w:rPr>
      </w:pPr>
    </w:p>
    <w:p>
      <w:pPr>
        <w:ind w:left="660" w:right="14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183"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False Claims Act (“FCA”), which prohibits, among other things, individuals or entities from knowingly presenting, or causing to be presented, claims for payment from Medicare, Medicaid or other third-party payors that are false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w:t>
      </w:r>
    </w:p>
    <w:p>
      <w:pPr>
        <w:spacing w:after="0" w:line="18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criminal FCA, which imposes criminal fines or imprisonment against individuals or entities who make or present a claim to the government knowing such claim to be false, fictitious or fraudulent;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federal criminal laws that prohibit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175"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Affordable Care Act, which require certain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179"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commercial insurers; state laws that require pharmaceutical companies to comply with the device industry’s voluntary compliance guidelines and the relevant compliance guidance promulgated by the federal government, or otherwise restrict payments that may be made to healthcare providers and other potential referral sources; and state laws that require device manufacturers to report information related to payments and other transfers of value to physicians and other healthcare providers or marketing expenditures.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the Affordable Care Act,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Affordable Care Act provided that the government may assert that a claim including items or services resulting from a violation of the federal Anti-Kickback Statute constitutes a false or fraudulent claim for purposes of the FCA. Moreover, while we do not, and will not, submit claims and our customers will make the ultimate decision on how to submit claims, we may provide reimbursement guidance to our customers from time to time.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entered into consulting and scientific advisory board arrangements with physicians and other healthcare providers. Compensation for some of these arrangements includes the provision of stock options. While we have worked to structure our arrangements to comply with applicable laws,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influence the ordering of and use our products to be in violation of applicable laws.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Responding to investigations can be time- 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72"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the commercialization of any tablet vaccine candidates we may develop.</w:t>
      </w:r>
    </w:p>
    <w:p>
      <w:pPr>
        <w:spacing w:after="0" w:line="15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tablet vaccine candidates in human clinical trials and will face an even greater risk if we commercially sell any products that we may develop after approval. For instance, since our norovirus tablet challenge study is being conducted in healthy human volunteers, any adverse reactions could result in claims from these injuries and we could incur substantial liabilities. Regardless of merit or eventual outcome, liability claims may result in:</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tablet vaccine candidates that it may develop;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we may develop.</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in the amount of up to $10 million per claim and in the aggregate, it may not be adequate to cover all liabilities that we may incur. Additionally, seasonal influenza is a covered vaccine of the National Vaccine Injury Compensation Program, and our participation in that program may require time and resources that impede product uptake, if approved. We anticipate that we will need to increase our insurance coverage as we continue clinical trials and if we successfully commercialize any products. Insurance coverage is increasingly expensive. We may not be able to maintain insurance coverage at a reasonable cost or in an amount adequate to satisfy any liability that may arise.</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product liability claim is successfully brought against us for uninsured liabilities, or such claim exceeds our insurance coverage, we could be forced to pay substantial damage awards that could materially harm our business.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use of any of our existing or future product candidates in clinical trials and the sale of any approved pharmaceutical products may expose us to significant product liability claims. We currently have product liability insurance coverage for our ongoing clinical trials in the amount of up to $10 million. Further, we also require clinical research and manufacturing organizations that assist us in the conduct of our trials or manufacture materials used in these trials to carry product liability insurance against such claims. This insurance coverage may not protect us against any or all of the product liability claims that may be brought against us in the future. We may not be able to acquire or maintain adequate product liability insurance coverage at a commercially reasonable cost or in sufficient amounts or scope to protect ourselves against potential losses. In the event a product liability claim is brought against us, we may be required to pay legal and other expenses to defend the claim, as well as uncovered damage awards resulting from a claim brought successfully against us. In the event any of our product candidates are approved for sale by the FDA or similar regulatory authorities in other countries and commercialized, we may need to substantially increase the amount of our product liability coverage. Defending any product liability claim or claims could require us to expend significant financial and managerial resources, which could have an adverse effect on our business.</w:t>
      </w:r>
    </w:p>
    <w:p>
      <w:pPr>
        <w:spacing w:after="0" w:line="19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either on our own or in collaboration with third parties, we may not be successful in commercializing our tablet vaccine candidates, if approved.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have any infrastructure for the sales, marketing or distribution of our tablet vaccine candidates, and the cost of establishing and maintaining such an organization may exceed the cost-effectiveness of doing so. In order to market any tablet vaccine candidates that may be approved, we must build our sales, distribution, marketing, managerial and other non-technical capabilities or make arrangements with third parties to perform these services. To achieve commercial success for any tablet vaccine candidates for which we have obtained marketing approval, we will need a sales and marketing organization. While we expect to partner our tablet vaccine for seasonal influenza, we may build a focused sales, distribution and marketing infrastructure to market our other tablet vaccine candidates in the U.S., if approved.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tablet vaccine candidate launch, which would adversely impact commercialization.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tablet vaccine candidates on our own include:</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attain adequate numbers of physicians to administer our tablet vaccines;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intend to pursue collaborative arrangements regarding the sale and marketing of our tablet vaccine candidates, if approved, for certain international markets; however, we may not be able to establish or maintain such collaborative arrangements and, if able to do so, our collaborators may not have effective sales. To the extent that we depend on third parties for marketing and distribution, any revenues we receive will depend upon the efforts of such third parties, and we cannot assure you that such efforts will be successful.</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are unable to build our own sales force in the U.S. or negotiate a collaborative relationship for the commercialization of our tablet vaccine candidates outside the U.S., we may be forced to delay the potential commercialization or reduce the scope of our sales and marketing activities. We could have to enter into arrangements with third parties at an earlier stage than we would otherwise choose and we may be required to relinquish rights to our intellectual property or otherwise agree to terms unfavorable to us, any of which may have an adverse effect on our business, operating results and prospects.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any tablet vaccine candidates outside of the United States, a variety of risks associated with international operations could harm our business.</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our tablet vaccine candidates are approved for commercialization, we intend to enter into agreements with third parties to market them in certain jurisdictions outside the U.S. We expect that we will be subject to additional risks related to international operations or entering into international business relationships, including:</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and rules governing drug commercialization in foreign countries;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noncompliance with the U.S. Foreign Corrupt Practices Act, the U.K. Bribery Act 2010 and similar anti-bribery and anticorruption laws in other jurisdictions;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tablet vaccination shortages resulting from any events affecting raw material supply or manufacturing capabilities abroad;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tax, labor and other legal requirements imposed by both the European Union and many of the individual countries in Europe with which we will need to comply.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involvement may limit the commercial success of our tablet vaccine candidates.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Various government entities, including the U.S. government, are offering incentives, grants and contracts to encourage additional investment by commercial organizations into preventative and therapeutic agents against coronavirus and influenza, which may have the effect of increasing the number of competitors and/or providing advantages to known competitors. Accordingly, there can be no assurance that we will be able to successfully establish a competitive market share for our coronavirus or influenza vaccines.</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current influenza vaccines are generally trivalent (containing three strains) or quadrivalent (containing four strains). If the FDA requires or recommends changes in influenza vaccines, for example, for a monovalent vaccine or for use of a strain that is not currently circulating in the human population, it is uncertain whether we will be able to produce or manufacture such a vaccine at commercially reasonable rates.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seasonal nature of our target indications, in particular influenza, and competition from new products may cause unpredictable royalty revenues from Inavir and significant fluctuations in our operating results.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Influenza is seasonal in nature with sales of current vaccines occurring primarily in the first and fourth quarters of the calendar year. In addition, outbreaks of norovirus typically occur in the winter season. This seasonal concentration of product sales could cause quarter-to-quarter operating results to vary widely and can exaggerate the consequences of revenues of any manufacturing or supply delays, any sudden loss of inventory, any inability to satisfy product demand, the inability to estimate the effect of returns and rebates, normal or unusual fluctuations in customer buying patterns, or of any unsuccessful sales or marketing strategies during the sales seasons.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earn royalty revenue from the net sales of Inavir, which is marketed by our licensee. Although the royalty rates paid to us by our licensees are fixed at a proportion of the licensee’s net sales of these products, our periodic and annual revenues from these royalties have historically been variable and subject to fluctuation based on the seasonal incidence and severity of influenza. It is the seasonality of influenza, which occurs mainly in the winter months, that causes our royalty revenue to be low in the second and third fiscal quarters, since our agreement with HealthCare Royalty Partners III, L.P. (see </w:t>
      </w:r>
      <w:r>
        <w:rPr>
          <w:rFonts w:ascii="Times New Roman" w:cs="Times New Roman" w:eastAsia="Times New Roman" w:hAnsi="Times New Roman"/>
          <w:sz w:val="18"/>
          <w:szCs w:val="18"/>
          <w:u w:val="single" w:color="auto"/>
          <w:color w:val="0000EE"/>
        </w:rPr>
        <w:t>Note 6</w:t>
      </w:r>
      <w:r>
        <w:rPr>
          <w:rFonts w:ascii="Times New Roman" w:cs="Times New Roman" w:eastAsia="Times New Roman" w:hAnsi="Times New Roman"/>
          <w:sz w:val="18"/>
          <w:szCs w:val="18"/>
          <w:color w:val="auto"/>
        </w:rPr>
        <w:t xml:space="preserve"> to our Consolidated Financial Statements on Part II, Item 8) has no impact on total revenue recognized, it only impacts our net cash flow in the quarter following revenue recognition. We cannot predict with any certainty what our royalty revenues are likely to be in any given year.</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our licensee may encounter competition from new products entering the market, including generic copies of Inavir, which could adversely affect our royalty income. The last patent related to Inavir is set to expire in August 2036 in Japan, at which time royalty revenue will cease. However, the patent covering the laninamivir octanoate compound expired in 2024, at which time generic competition may enter the market, potentially decreasing or eliminating the royalties received. On February 23, 2018, Osaka-based drug maker Shionogi &amp; Co., Ltd. gained marketing approval for Xofluza, a new drug to treat influenza in Japan. The drug was approved for use against type A and B influenza viruses and requires only a single dose regardless of age. Xofluza has gained significant market share from Inavir in Japan, substantially reducing the sales of Inavir. This will significantly decrease the royalty payments we receive from Daiichi Sankyo Company, Limited.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largely upon our ability to advance our product candidates through the various stages of drug development. If we are unable to successfully advance or develop our product candidates, our business will be materially harmed.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though we generate royalty revenue from a commercialized influenza product, all of our remaining product candidates are in early stages of development and their commercial viability remains subject to the successful outcome of future preclinical studies, clinical trials, manufacturing processes, regulatory approvals and the risks generally inherent in the development of pharmaceutical product candidates. Failure to advance the development of one or more of our product candidates may have a material adverse effect on our business. For example, the Phase 2 trial of teslexivir, a product acquired through the merger with Aviragen, was costly and diverted resources from our other product candidates and did not achieve the primary efficacy endpoint, resulting in abandonment of development activities. The long-term success of our business ultimately depends upon our ability to advance the development of our product candidates through preclinical studies and clinical trials, appropriately formulate and consistently manufacture them in accordance with strict specifications and regulations, obtain approval of our product candidates for sale by the FDA or similar regulatory authorities in other countries, and ultimately have our product candidates successfully commercialized, either by us or by a strategic partner or licensee. We cannot be sure that the results of our ongoing or future research, preclinical studies or clinical trials will support or justify the continued development of our product candidates, or that we will ultimately receive approval from the FDA, or similar regulatory authorities in other countries, to advance the development of our product candidates</w:t>
      </w:r>
      <w:r>
        <w:rPr>
          <w:rFonts w:ascii="Times New Roman" w:cs="Times New Roman" w:eastAsia="Times New Roman" w:hAnsi="Times New Roman"/>
          <w:sz w:val="18"/>
          <w:szCs w:val="18"/>
          <w:i w:val="1"/>
          <w:iCs w:val="1"/>
          <w:color w:val="auto"/>
        </w:rPr>
        <w:t>.</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product candidates must satisfy rigorous regulatory standards of safety, efficacy and manufacturing before we can advance or complete their development and before they can be approved for sale by the FDA or similar regulatory authorities in other countries. To satisfy these standards, we must engage in expensive and lengthy studies and clinical trials, develop acceptable and cost-effective manufacturing processes, and obtain regulatory approval of our product candidates. Despite these efforts, our product candidates may not:</w:t>
      </w:r>
    </w:p>
    <w:p>
      <w:pPr>
        <w:spacing w:after="0" w:line="180" w:lineRule="exact"/>
        <w:rPr>
          <w:sz w:val="20"/>
          <w:szCs w:val="20"/>
          <w:color w:val="auto"/>
        </w:rPr>
      </w:pPr>
    </w:p>
    <w:p>
      <w:pPr>
        <w:ind w:left="660" w:right="1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clinically meaningful therapeutic or other medical benefits as compared to a patient receiving no treatment or over existing drugs or other product candidates in development to treat the same patient population;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shown to be safe and effective in future preclinical studies or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desired therapeutic or medical effects;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tolerable or free from undesirable or unexpected side effects;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applicable regulatory standards;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capable of being appropriately formulated and manufactured in commercially suitable quantities or scale and at an acceptable cost;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successfully commercialized, either by us or by our licensees or collaborators.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demonstrate favorable results in preclinical studies and early-stage clinical trials, we cannot be sure that the results of late-stage clinical trials will be sufficient to support the continued development of our product candidates. Many, if not most, companies in the pharmaceutical and biopharmaceutical industries have experienced significant delays, setbacks and failures in all stages of development, including late-stage clinical trials, even after achieving promising results in preclinical testing or early-stage clinical trials. Accordingly, results from completed preclinical studies and early-stage clinical trials of our product candidates may not be predictive of the results we may obtain in future late-stage trials. Furthermore, even if the data collected from preclinical studies and clinical trials involving any of our product candidates demonstrate a satisfactory safety, tolerability and efficacy profile, such results may not be sufficient to obtain regulatory approval from the FDA in the U.S., or other similar regulatory agencies in other jurisdictions, which is required to market and sell the product.</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actual or perceived therapeutic benefits, or the safety or tolerability profile of any of our product candidates are not equal to or superior to other competing treatments approved for sale or in clinical development, we may terminate the development of any of our product candidates at any time, and our business prospects and potential profitability could be harmed.</w:t>
      </w:r>
    </w:p>
    <w:p>
      <w:pPr>
        <w:spacing w:after="0" w:line="17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are aware of a number of companies marketing or developing various classes of anti-infective product candidates or products for the treatment of patients infected with HPV that are either approved for sale or further advanced in clinical development than ours, such that their time to approval and commercialization may be shorter than that for our product candidates.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at any time we believe that any of our product candidates may not provide meaningful or differentiated therapeutic benefits, perceived or real, equal to or better than our competitors’ products or product candidates, or we believe that our product candidates may not have as favorable a safety or tolerability profile as potentially competitive compounds, we may delay or terminate the future development of any of our product candidates. We cannot provide any assurance that the future development of any of our product candidates will demonstrate any meaningful therapeutic benefits over potentially competitive compounds currently approved for sale or in development, or an acceptable safety or tolerability profile sufficient to justify their continued development.</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exhibit undesirable side effects when used alone or in combination with other approved pharmaceutical products, which may delay or preclude their development or regulatory approval or limit their use if ever approved.</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Throughout the drug development process, we must continually demonstrate the activity, safety and tolerability of our product candidates in order to obtain regulatory approval to further advance their clinical development, or to eventually market them. Even if our product candidates demonstrate adequate biologic activity and clear clinical benefit, any unacceptable side effects or adverse events, when administered alone or in the presence of other pharmaceutical products, may outweigh these potential benefits. We may observe adverse or serious adverse events or drug-drug interactions in preclinical studies or clinical trials of our product candidates, which could result in the delay or termination of their development, prevent regulatory approval, or limit their market acceptance if they are ultimately approved.</w:t>
      </w:r>
    </w:p>
    <w:p>
      <w:pPr>
        <w:spacing w:after="0" w:line="183"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results from preclinical studies or clinical trials of our product candidates, including those that are subject to existing or future license or collaboration agreements, are unfavorable, we could be delayed or precluded from the further development or commercialization of our product candidates, which could materially harm our business.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further advance the development of, and ultimately receive marketing approval to sell our product candidates, we must conduct extensive preclinical studies and clinical trials to demonstrate their safety and efficacy to the satisfaction of the FDA or similar regulatory authorities in other countries, as the case may be. Preclinical studies and clinical trials are expensive, complex, can take many years to complete, and have highly uncertain outcomes. Delays, setbacks, or failures can and do occur at any time, and in any phase of preclinical or clinical testing, and can result from concerns about safety, tolerability, toxicity, a lack of demonstrated biologic activity or improved efficacy over similar products that have been approved for sale or are in more advanced stages of development, poor study or trial design, and issues related to the formulation or manufacturing process of the materials used to conduct the trials. The results of prior preclinical studies or early-stage clinical trials are not predictive of the results we may observe in late-stage clinical trials. In many cases, product candidates in clinical development may fail to show the desired tolerability, safety and efficacy characteristics, despite having favorably demonstrated such characteristics in preclinical studies or early-stage clinical trials.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may experience numerous unforeseen events during, or as a result of, preclinical studies and the clinical trial process, which could delay or impede our ability to advance the development of, receive marketing approval for, or commercialize our product candidates, including, but not limited to:</w:t>
      </w:r>
    </w:p>
    <w:p>
      <w:pPr>
        <w:spacing w:after="0" w:line="162" w:lineRule="exact"/>
        <w:rPr>
          <w:sz w:val="20"/>
          <w:szCs w:val="20"/>
          <w:color w:val="auto"/>
        </w:rPr>
      </w:pPr>
    </w:p>
    <w:p>
      <w:pPr>
        <w:ind w:left="660" w:right="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with the FDA, or similar regulatory authorities in different countries, regarding the scope or design of a trial or trials, or placing the development of a product candidate on clinical hold or delaying the next phase of development until questions or issues are satisfactorily resolved, including performing additional studies to answer their queries;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IRBs not authorizing us to commence or conduct a clinical trial at a prospective trial site;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our clinical trials being delayed, or proceeding at a slower pace than we expected, because we have difficulty recruiting participants or participants drop out of our clinical trials at a higher rate than we anticipated;</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upon whom we rely to conduct preclinical studies, clinical trials and the manufacturing of our clinical trial materials, failing to comply with regulatory requirements or meet their contractual obligations to us in a timely manner;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suspend or ultimately terminate a clinical trial if participants are being exposed to unacceptable health or safety risks;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IRBs requiring that we hold, suspend or terminate our preclinical studies and clinical trials for various reasons, including non-compliance with regulatory requirements;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 necessary to conduct our preclinical studies or clinical trials being insufficient, inadequate or unavailable.</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Even if the data collected from preclinical studies or clinical trials involving our product candidates demonstrate a satisfactory tolerability, safety and efficacy profile, such results may not be sufficient to support the submission of a BLA or NDA to obtain regulatory approval from the FDA in the U.S., or other similar regulatory authorities in other foreign jurisdictions, which is required for us to market and sell our product candidates.</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capacity for managing clinical trials, which could delay or impair our ability to initiate or complete clinical trials of our product candidates on a timely basis and materially harm our business.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 limited capacity to recruit and manage all of the clinical trials necessary to obtain approval for our product candidates by the FDA or similar regulatory authorities in other countries. By contrast, larger pharmaceutical and biopharmaceutical companies often have substantial staff or departments with extensive experience in conducting clinical trials with multiple product candidates across multiple indications and obtaining regulatory approval in various countries. In addition, these companies may have greater financial resources to compete for the same clinical investigators, sites and patients that we are attempting to recruit for our clinical trials. As a result, we may be at a competitive disadvantage that could delay the initiation, recruitment, timing and completion of our clinical trials and obtaining of marketing approvals, if achieved at all, for our product candidates.</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 and subject to rapid technological changes. As a result, we may be unable to compete successfully or develop innovative or differentiated products, which could harm our business.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industry is highly competitive and characterized by rapid technological change. Key competitive factors in our industry include, among others, the ability to successfully advance the development of a product candidate through preclinical and clinical trials; the efficacy, toxicology, tolerability, safety, resistance or cross-resistance, interaction or dosing profile of a product or product candidate; the timing and scope of marketing approvals, if ever achieved; reimbursement rates for and the average selling price of competing products and pharmaceutical products in general; the availability of raw materials and qualified contract manufacturing and manufacturing capacity to produce our product candidates; relative manufacturing costs; establishing, maintaining and protecting our intellectual property and patent rights; and sales and marketing capabilities.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 candidates is a highly competitive, expensive and risky activity with a long business cycle. Many organizations, including the large pharmaceutical and biopharmaceutical companies that have existing products on the market or in clinical development that may compete with our product candidates, have substantially more resources than us, as well as much greater capabilities and experience than we have in research and discovery, designing and conducting preclinical studies and clinical trials, operating in a highly regulated environment, formulating and manufacturing drug substances, products and devices, and marketing and sales. Our competitors may be more successful than us in obtaining regulatory approvals for their product candidates and achieving broad market acceptance once they are approved. Our competitors’ products or product candidates may be more effective, have fewer adverse effects, be more convenient to administer, have a more favorable resistance profile, or be more effectively marketed and sold than any product that we, or our potential future licensees or collaborators, may develop or commercialize. New drugs or classes of drugs from competitors may render our product candidates obsolete or non-competitive before we are able to successfully develop them or, if approved, before we can recover the expenses of developing and commercializing them. We anticipate that we, or our potential future licensees or collaborators, will face intense and increasing competition as new drugs and drug classes enter the market and advanced technologies or new drug targets become available. If our product candidates do not demonstrate any meaningful competitive advantages over existing products, or new products or product candidates, we may terminate the development or commercialization of our product candidates at any time.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competitors, either alone or with their collaborators, may succeed in developing product candidates or products that are more effective, safer, less expensive or easier to administer than ours. Accordingly, our competitors may succeed in obtaining regulatory approval for their product candidates more rapidly than we can. Companies that can complete clinical trials, obtain required marketing approvals and commercialize their products before their competitors do so may achieve a significant competitive advantage, including certain patent and marketing exclusivity rights that could delay the ability of competitors to market certain products.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face, and expect that we will continue to face, intense competition from other companies in a number of other areas, including (i) attracting larger pharmaceutical and biopharmaceutical companies to enter into collaborative arrangements with us to acquire, license or co-develop our product candidates,</w:t>
      </w:r>
    </w:p>
    <w:p>
      <w:pPr>
        <w:jc w:val="both"/>
        <w:ind w:right="140" w:firstLine="8"/>
        <w:spacing w:after="0" w:line="253"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obtaining additional clinical-stage development programs to bolster our pipeline, (iii) attracting investigators and clinical sites capable of conducting our clinical trials, and (iv) recruiting patients to participate in our clinical trials. There can be no assurance that product candidates resulting from our research and development efforts, or from joint efforts with our potential future licensees or collaborators, will be able to compete successfully with our competitors’ existing products or product candidates in development.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develop a product candidate that is the subject of an existing or future license agreement or collaboration if our licensee or collaborator does not perform or fulfill its contractual obligations, delays the development of our product candidate, or terminates the agreement.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to continue to enter into and rely on license and collaboration agreements in the future, or other similar business arrangements with third parties, to further develop and/or commercialize some or all of our existing and future product candidates. Such licensees or collaborators may not perform as agreed upon or anticipated, may fail to comply with strict regulations, or may elect to delay or terminate their efforts in developing or commercializing our product candidates even though we have met our obligations under the arrangement.</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majority of the potential revenue from existing and any future licenses and collaborations we may enter into will likely consist of contingent milestone payments, such as payments received for achieving development or regulatory milestones, and royalties payable on the sales of approved products. Milestone and royalty revenues that we may receive under these licenses and collaborations will depend primarily upon our licensees’ or collaborators’ ability to successfully develop and commercialize our product candidates. In addition, our licensees or collaborators may decide to enter into arrangements with third parties to commercialize products developed under our existing or future collaborations using our technologies, which could reduce the milestone and royalty revenue that we may receive, if any. In many cases, we will not be directly or closely involved in the development or commercialization of our product candidates that are subject to licenses or collaborations and, accordingly, we will depend largely on our licensees or collaborators to develop or commercialize our product candidates. Our licensees may encounter competition from new products entering the market, which could adversely affect our royalty income. Our licensees or collaborators may fail to develop or effectively commercialize our product candidates because they:</w:t>
      </w:r>
    </w:p>
    <w:p>
      <w:pPr>
        <w:spacing w:after="0" w:line="194" w:lineRule="exact"/>
        <w:rPr>
          <w:sz w:val="20"/>
          <w:szCs w:val="20"/>
          <w:color w:val="auto"/>
        </w:rPr>
      </w:pPr>
    </w:p>
    <w:p>
      <w:pPr>
        <w:jc w:val="both"/>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allocate the necessary resources due to internal constraints, such as limited personnel with the requisite scientific expertise, limited capital resources, or the belief that other product candidates or internal programs may have a higher likelihood of obtaining regulatory approval, or may potentially generate a greater return on investment;</w:t>
      </w:r>
    </w:p>
    <w:p>
      <w:pPr>
        <w:spacing w:after="0" w:line="175"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have sufficient resources necessary to fully support the product candidate through clinical development, regulatory approval and commercialization;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unable to obtain the necessary regulatory approvals; or</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 other programs or otherwise diminish their support for developing and/or marketing our product candidate or product due to a change in management, business operations or strategy.</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Should any of these events occur, we may not realize the full potential or intended benefit of our license or collaboration arrangements, and our results of operations may be adversely affected. In addition, a licensee or collaborator may decide to pursue the development of a competitive product candidate developed outside of our agreement with them. Conflicts may also arise if there is a dispute about the progress of, or other activities related to, the clinical development or commercialization of a product candidate, the achievement and payment of a milestone amount, the ownership of intellectual property that is developed during the course of the arrangement, or other license agreement terms. If a licensee or collaborator fails to develop or effectively commercialize our product candidates for any of these reasons, we may not be able to replace them with another third party willing to develop and commercialize our product candidates under similar terms, if at all. Similarly, we may disagree with a licensee or collaborator as to which party owns newly or jointly-developed intellectual property. Should an agreement be revised or terminated as a result of a dispute and before we have realized the anticipated benefits of the arrangement, we may not be able to obtain certain development support or revenues that we anticipated receiving. We may also be unable to obtain, on terms acceptable to us, a license from such collaboration partner to any of its intellectual property that may be necessary or useful for us to continue to develop and commercialize the product candidate. There can be no assurance that any product candidates will emerge from any existing or future license or collaboration agreements we may enter into for any of our product candidates.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government and third-party payers fail to provide adequate reimbursement or coverage for our products or those that are developed through licenses or collaborations, our revenues and potential for profitability may be harmed.</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U.S. and most foreign markets, product revenues or related royalty revenue, and therefore the inherent value of our products, will depend largely upon the reimbursement rates established by third-party payers for such products. Third-party payers include government health administration authorities, managed-care organizations, private health insurers and other similar organizations. Third-party payers are increasingly examining the cost effectiveness of medical products, services and pharmaceutical drugs and challenging the price of these products and services. In addition, significant uncertainty exists as to the reimbursement status, if any, of newly approved pharmaceutical products. Further, the comparative effectiveness of new products over existing therapies and the assessment of other non-clinical outcomes are increasingly being considered in the decision by payers to establish reimbursement rates. We, or our licensees or collaborators if applicable, may also be required to conduct post-marketing clinical trials in order to demonstrate the cost-effectiveness of our products. Such studies may require us to commit a significant amount of management time and financial resources. There can be no assurance that any products that we or our licensees or collaborators may successfully develop will be reimbursed in part, or at all, by any third-party payers in any country.</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Many governments continue to propose legislation designed to expand the coverage, yet reduce the cost, of healthcare, including pharmaceutical products. In many foreign markets, governmental agencies control the pricing of prescription drugs. In the U.S., significant changes in federal health care policy were approved over the past several years and continue to evolve and will likely result in reduced reimbursement rates for many pharmaceutical products in the future. We expect that there will continue to be federal and state proposals to implement increased government control over reimbursement rates of pharmaceutical products. In addition, we expect that increasing emphasis on managed care and government intervention in the U.S. healthcare system will continue to put downward pressure on the pricing of pharmaceutical products there. Recent events have resulted in increased public and governmental scrutiny of the cost of drugs, especially in connection with price increases following companies’ acquisitions of the rights to certain drug products. In particular, U.S. federal prosecutors recently issued subpoenas to a pharmaceutical company seeking information about its drug pricing practices, among other issues, and members of the U.S. Congress have sought information from certain pharmaceutical companies relating to post-acquisition drug-price increases. Our revenue and future profitability could be negatively affected if these inquiries were to result in legislative or regulatory proposals that limit our ability to increase the prices of our products that may be approved for sale in the future. Legislation and regulations affecting the pricing of pharmaceutical products may change before our product candidates are approved for sale, which could further limit or eliminate their reimbursement rates. Further, social and patient activist groups, whose goal it is to reduce the cost of healthcare, and in particular the price of pharmaceutical products, may also place downward pressure on the price of these products, which could result in decreases in the price of our products.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candidates that we develop independently, or through licensees or collaborators if applicable, are approved but do not gain meaningful acceptance in their intended markets, we are not likely to generate significant revenues.</w:t>
      </w:r>
    </w:p>
    <w:p>
      <w:pPr>
        <w:spacing w:after="0" w:line="15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Even if our product candidates are successfully developed and we or a licensee or collaborator obtains the requisite regulatory approvals to market them in the future, they may not gain market acceptance or broad utilization among physicians, patients or third-party payers. The degree of market acceptance that any of our products may achieve will depend on a number of factors, including:</w:t>
      </w:r>
    </w:p>
    <w:p>
      <w:pPr>
        <w:spacing w:after="0" w:line="17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or perceived clinical benefit of the product, if any, relative to existing 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approval and the existing market for competitive drugs, including the presence of generic drugs;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reimbursement provided by third-party payers to cover the cost of the product to patients;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cost of the product to the user or third-party payer;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of the product;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potential advantages over existing or alternative 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safety of similar classes of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existence, incidence and severity of adverse effects;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and distribution capabilities;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product label approved by the FDA or similar regulatory agencies in other jurisdictions.</w:t>
      </w:r>
    </w:p>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There can be no assurance that physicians will choose to prescribe or administer our products, if approved, to the intended patient population. If our products do not achieve meaningful market acceptance, or if the market for our products proves to be smaller than anticipated, we may never generate significant revenues.</w:t>
      </w:r>
    </w:p>
    <w:p>
      <w:pPr>
        <w:spacing w:after="0" w:line="17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20, 2025, President Trump signed an executive order creating an advisory commission, the “Department of Government Efficiency,” to reform federal government processes and reduce expenditures. Pressures on and uncertainty surrounding the U.S. federal government’s budget, and potential changes in budgetary priorities and spending levels, could adversely affect staffing levels and the funding for the FDA. Disruptions at the FDA and other agencies due to these policies may slow the time necessary for new drugs to be reviewed and/or approved by necessary government agencies, which would adversely affect our business. For example, over the past decade, the U.S. government has shut down, at least partially,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could delay or prevent the development, approval, manufacturing, or any eventual commercialization of our product candidates.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depend on third-party collaborators, service providers, and others in the research, development, manufacturing, and any eventual commercialization of our product candidates. We rely heavily on these parties for multiple aspects of our drug development and manufacturing activities and anticipate that we will rely on third parties for commercialization activities including testing of our product candidates. We have very limited control over many aspects of those activities. Failure by one or more of the third-party collaborators, service providers, or others to complete activities on schedule or in accordance with our expectations or to meet their contractual or other obligations to us; failure of one or more of these parties to comply with applicable laws or regulations; or any disruption in the relationships between us and these parties, could delay or prevent the development, approval, manufacturing, or any eventual commercialization of our product candidates, expose us to suboptimal quality of service delivery or deliverables, result in repercussions such as missed deadlines or other timeliness issues, erroneous data and supply disruptions, and could also result in non-compliance with legal or regulatory requirements or industry standards or subject us to reputational harm, all with potential negative implications for our product pipeline and business.</w:t>
      </w:r>
    </w:p>
    <w:p>
      <w:pPr>
        <w:spacing w:after="0" w:line="184"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contract manufacturers for certain portions of our manufacturing process. If third-party contract manufacturers fail to manufacture according to our specifications, or fail to comply with strict government regulations, our preclinical studies or clinical trials could be adversely affected and the development of our product candidates could be delayed or terminated, or we could incur significant additional expenses.</w:t>
      </w:r>
    </w:p>
    <w:p>
      <w:pPr>
        <w:spacing w:after="0" w:line="15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To the extent that we rely on third-party contract manufacturers, which in some cases may be sole sourced, we are exposed to a number of risks, any of which could delay or prevent the completion of our preclinical studies or clinical trials, or the regulatory approval or commercialization of our product candidates, result in higher costs, or deprive us of potential product revenues in the future. Some of these risks include, but are not limited to:</w:t>
      </w:r>
    </w:p>
    <w:p>
      <w:pPr>
        <w:spacing w:after="0" w:line="176" w:lineRule="exact"/>
        <w:rPr>
          <w:sz w:val="20"/>
          <w:szCs w:val="20"/>
          <w:color w:val="auto"/>
        </w:rPr>
      </w:pPr>
    </w:p>
    <w:p>
      <w:pPr>
        <w:ind w:left="660" w:right="10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failing to develop an acceptable formulation to support late-stage clinical trials for, or the commercialization of, our product candidates;</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failing to manufacture our product candidates according to their own standards, our specifications, cGMP, or regulatory guidelines, or otherwise manufacturing material that we or regulatory authorities deem to be unsuitable for our clinical trials or commercial use;</w:t>
      </w:r>
    </w:p>
    <w:p>
      <w:pPr>
        <w:spacing w:after="0" w:line="175"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being unable to increase the scale of or the capacity for, or reformulate the form of, our product candidates, which may cause us to experience a shortage in supply or cause the cost to manufacture our product candidates to increase. There can be no assurance that our potential contract manufacturers will be able to manufacture our product candidates at a suitable commercial scale, or that we will be able to find alternative manufacturers acceptable to us that can do so;</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placing a priority on the manufacture of other customers’ or their own products, rather than our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failing to perform as agreed or exiting from the contract manufacturing business;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plants being closed as a result of regulatory sanctions or a natural disaster.</w:t>
      </w:r>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Manufacturers of pharmaceutical drug products are subject to ongoing periodic inspections by the FDA, the U.S. Drug Enforcement Administration, or DEA, and corresponding state and other foreign agencies to ensure strict compliance with FDA-mandated cGMP, other government regulations and corresponding foreign standards. We do not have control over our third-party contract manufacturers’ compliance with these regulations and standards and accordingly, failure by our third-party manufacturers, or us, to comply with applicable regulations could result in sanctions being imposed on us or our manufacturers, which could significantly and adversely affect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need to change a third-party contract manufacturer, our preclinical studies or our clinical trials, and the commercialization of our product candidates could be delayed, adversely affected or terminated, or such a change may result in the need for us to incur significantly higher costs, which could materially harm our business.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Due to various regulatory restrictions in the U.S. and many other countries, as well as potential capacity constraints on manufacturing that occur from time-to-time in our industry, various steps in the manufacture of our product candidates are sole-sourced to certain contract manufacturers. In accordance with cGMPs, changing manufacturers may require the re-validation of manufacturing processes and procedures, and may require further preclinical studies or clinical trials to show comparability between the materials produced by different manufacturers. Changing a contract manufacturer may be difficult and could be extremely costly and time-consuming, which could result in our inability to manufacture our product candidates for an extended period of time and a delay, as well as an increase in costs, in the development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manufacture our product candidates in sufficient quantities to commercialize them.</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order to receive FDA approval of our product candidates, we will need to manufacture such product candidates in larger quantities. We may not be able to successfully increase the manufacturing capacity for our product candidates in a timely or economic manner, or at all. In the event FDA approval is received, we will need to increase production of our product candidates. Significant scale-up of manufacturing may require additional validation studies, which the FDA must review and approve. If we are unable to successfully increase the manufacturing capacity for our product candidates, the clinical trials, the regulatory approval and the commercial launch of our product candidates may be delayed, or there may be a shortage in supply. Our product candidates require precise, high-quality manufacturing. Failure to achieve and maintain high-quality manufacturing, including the incidence of manufacturing errors, could result in patient injury or death, delays or failures in testing or delivery, cost overruns or other problems that could harm our business, financial condition and results of operations.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pharmaceutical products in compliance with cGMP regulations requires significant expertise and capital investment, including the development of advanced manufacturing techniques and process controls.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Manufacturers of pharmaceutical products often encounter difficulties in production, including difficulties with production costs and yields, quality control, including stability of the product candidates and quality assurance testing, or shortages of qualified personnel. If we were to encounter any of these difficulties or otherwise fail to comply with our obligations under applicable regulations, our ability to provide study materials in our clinical trials would be jeopardized. Any delay or interruption in the supply of clinical trial materials could delay the completion of our clinical trials, increase the costs associated with maintaining our clinical trial programs and, depending upon the period of delay, require us to commence new trials at significant additional expense or to terminate the studies and trials completely.</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must comply with cGMP requirements enforced by the FDA through its facilities inspection program. These requirements include, among other things, quality control, quality assurance and the maintenance of records and documentation. Manufacturers of our component materials may be unable to comply with these cGMP requirements and with other FDA, state and foreign regulatory requirements. The FDA or similar foreign regulatory agencies at any time may also implement new standards, or change their interpretation and enforcement of existing standards, for manufacture, packaging or testing of products.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product supplied is compromised due to our failure, or that our third-party manufacturers, to adhere to applicable laws or for other reasons, we may not be able to obtain regulatory approval for or successfully commercialize our products, and we may be held liable for any injuries sustained as a result. Any of these factors could cause a delay of clinical trials, regulatory submissions, approvals or commercialization of any product candidates we may develop or acquire in the future, or entail higher costs, or impair our reputation.</w:t>
      </w:r>
    </w:p>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single source vendors for key tablet vaccine components and certain strains needed in our tablet vaccine candidates, which could impair our ability to manufacture and supply our tablet vaccine candidates.</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currently depend on single source vendors for certain raw materials used in the manufacture of our tablet vaccine candidates. Any production shortfall that impairs the supply of the relevant raw materials could have a material adverse effect on our business, financial condition and results of operations. An inability to continue to source product from these suppliers, which could be due to regulatory actions or requirements affecting the supplier, adverse financial or other strategic developments experienced by a supplier, labor disputes or shortages, unexpected demands or quality issues, could materially adversely affect our operating results or our ability to conduct clinical trials, either of which could significantly harm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clinical trials, and if those third parties perform in an unsatisfactory manner, it may harm our business.</w:t>
      </w:r>
    </w:p>
    <w:p>
      <w:pPr>
        <w:spacing w:after="0" w:line="15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and we expect to have limited influence over their actual performance.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also rely 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protocol, legal, regulatory and scientific standards and our reliance on the CROs does not relieve us of these regulatory responsibilities.</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and our CROs are required to comply with the Good Laboratory Practice and GCP, which are regulations and guidelines enforced by the FDA and are also required by the Competent Authorities of the Member States of the European Economic Area and comparable foreign regulatory authorities in the form of International Conference on Harmonization guidelines for any of our product candidates that are in preclinical and clinical development. The Regulatory authorities enforce GCP through periodic inspections of trial sponsors, principal investigators and clinical trial sites. If we or our CROs fail to comply with GCPs, the clinical data generated in our clinical trials may be deemed unreliable and the FDA or comparable foreign regulatory authorities may require us to perform additional clinical trials before approving our marketing applications. Accordingly, if our CROs fail to comply with these regulations or fail to recruit enough subjects, we may be required to repeat clinical trials, which would delay the regulatory approval process.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we cannot control whether they devote sufficient time and resources to our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significant revenues could be delayed.</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our relationships with these CROs terminate,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materially impact our ability to meet our desired clinical development timelines. While we endeavor to carefully manage our relationships with our CROs, there can be no assurance that we will not encounter challenges or delays in the future or that these delays or challenges will not have an adverse impact on our business, financial condition and prospects.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selectively establish collaborations and, if we are unable to establish them on commercially reasonable terms, we may have to alter our development and commercialization plans.</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including our seasonable influenza tablet, we may decide to collaborate with governmental entities or additional pharmaceutical and biotechnology companies for the development and potential commercialization of those product candidates.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for similar indications that may be available to collaborate on and whether such a collaboration could be more attractive than the one with us for our product candidate.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include the following:</w:t>
      </w:r>
    </w:p>
    <w:p>
      <w:pPr>
        <w:spacing w:after="0" w:line="183" w:lineRule="exact"/>
        <w:rPr>
          <w:sz w:val="20"/>
          <w:szCs w:val="20"/>
          <w:color w:val="auto"/>
        </w:rPr>
      </w:pPr>
    </w:p>
    <w:p>
      <w:pPr>
        <w:ind w:left="660" w:right="8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FCA imposes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HIPAA, as amended by the Health Information Technology for Economic and Clinical Health Act, imposes criminal and civil liability for executing a scheme to defraud any healthcare benefit program and imposes obligations, including mandatory contractual terms, with respect to safeguarding the privacy, security and transmission of individually identifiable health information;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Affordable Care Act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175"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vaccine manufacturers to report information related to payments to physicians and other health care providers or marketing expenditures.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additional strategic partnerships, which could adversely affect our ability to develop and commercialize products, negatively impacting our operating results.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continue to strategically evaluate our partnerships and, as appropriate, we expect to enter into additional strategic partnerships in the future, including potentially with major biotechnology or biopharmaceutical companies. 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 Even if we are successful in our efforts to establish strategic partnerships, the terms that we agree upon may not be favorable to us, and we may not be able to maintain such strategic partnerships if, for example, development or approval of a product candidate is delayed or sales of an approved product are disappointing. Any delay in entering into strategic partnership agreements related to our product candidates could delay the development and commercialization of such candidates and reduce their competitiveness even if they reach the market. If we are not able to generate revenue under our strategic partnerships when and in accordance with our expectations or the expectations of industry analysts, this failure could harm our business and have an immediate adverse effect on the trading price of our common stock.</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we fail to establish and maintain additional strategic partnerships related to our unpartnered product candidates, we will bear all the risks and costs related to the development of any such product candidate, and we may need to seek additional financing, hire additional employees and otherwise develop expertise, such as regulatory expertise, for which we have not budgeted. If we were not successful in seeking additional financing, hiring additional employees or developing additional expertise, our cash burn rate would increase or we would need to take steps to reduce our rate of product candidate development. This could negatively affect the development of any unpartnered product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partnerships or acquisitions we have made or may make could turn out to be unsuccessful.</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part of our strategy, we monitor and analyze strategic partnership or acquisition opportunities that we believe will create value for our stockholders. We may acquire companies, businesses, products and technologies that complement or augment our existing business; however, such acquisitions could involve numerous risks that may prevent us from fully realizing the benefits that we anticipated as a result of such transactions.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not be able to integrate any acquired business successfully or operate any acquired business profitably. In addition, integrating any newly acquired business could be expensive and time-consuming, place a significant strain on managerial, operational and financial resources and could prove to be more difficult or expensive than we predict. The diversion of our management's attention and any delay or difficulties encountered in connection with any future acquisitions we may consummate could result in the disruption of our ongoing business or inconsistencies in standards and controls that could negatively affect our ability to maintain third-party relationships.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fail to derive any commercial value from the acquired technology, products and intellectual property, including as a result of the failure to obtain regulatory approval or to monetize products once approved, as well as risks from lengthy product development and high upfront development costs without guarantee of successful results. Patents and other intellectual property rights covering acquired technology and/or intellectual property may not be obtained, and if obtained, may not be sufficient to fully protect the technology or intellectual property. We may also be subject to liabilities, including unanticipated litigation costs, that are not covered by indemnification protection we may obtain. As we pursue strategic transactions, we may value the acquired company or partner incorrectly, fail to successfully manage our operations as our asset diversity increases, expend unforeseen costs during the acquisition or integration process, or encounter other unanticipated risks or challenges. We may fail to value a partnership or acquisition accurately, properly account for it in our consolidated financial statements, or successfully divest it or otherwise realize the value which we originally anticipated or have subsequently reflected in our consolidated financial statements.</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Moreover, we may need to raise additional funds through public or private debt or equity financing, or issue additional shares, to acquire any businesses or products, which may result in dilution for stockholders or the incurrence of indebtedness.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Any failure by us to effectively limit such risks as we implement our strategic partnership or acquisitions could have a material adverse effect on our business, financial condition or results of operations and may negatively impact our net income and cause the price of our securities to fall.</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a third-party contract manufacturer cannot timely supply sufficient bulk vaccine to allow us to manufacture our vaccine tablets, our preclinical studies or our clinical trial</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and the commercialization of our product candidates could be delayed, adversely affected or terminated, or may result in the need for us to incur significantly higher costs, which could materially harm our business.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Due to various regulatory restrictions in the U.S. and many other countries, as well as potential capacity constraints on manufacturing that occur from time-to-time in our industry, various steps in the manufacture of our product candidates are sole-sourced to certain contract manufacturers. In accordance with cGMP, changing manufacturers may require the re-validation of manufacturing processes and procedures, and may require further preclinical studies or clinical trials to show comparability between the materials produced by different manufacturers. Changing a contract manufacturer may be difficult and could be extremely costly and time consuming, which could result in our inability to manufacture our product candidates for an extended period and a delay in the development of our product candidates. Further, in order to maintain our development timelines in the event of a change in a third-party contract manufacturer, we may incur significantly higher costs to manufacture our product candidates.</w:t>
      </w:r>
    </w:p>
    <w:p>
      <w:pPr>
        <w:spacing w:after="0" w:line="185"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third-party vendors, upon whom we rely to conduct our preclinical studies or clinical trials, do not perform or fail to comply with strict regulations, these studies or trials may be delayed, terminated, or fail, or we could incur significant additional expenses, which could materially harm our business.</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limited resources dedicated to designing, conducting and managing our preclinical studies and clinical trials. We have historically relied on, and intend to continue to rely on, third parties, including clinical research organizations, consultants and principal investigators, to assist us in designing, managing, conducting, monitoring and analyzing the data from our preclinical studies and clinical trials. We rely on these vendors and individuals to perform many facets of the clinical development process on our behalf, including conducting preclinical studies, the recruitment of sites and patients for participation in our clinical trials, maintenance of good relations with the clinical sites, and ensuring that these sites are conducting our trials in compliance with the trial protocol and applicable regulations. If these third parties fail to perform satisfactorily, or do not adequately fulfill their obligations under the terms of our agreements with them, we may not be able to enter into alternative arrangements without undue delay or additional expenditures, and therefore the preclinical studies and clinical trials of our product candidates may be delayed or prove unsuccessful.</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Further, the FDA, or similar regulatory authorities in other countries, may inspect some of the clinical sites participating in our clinical trials or our third-party vendors’ sites to determine if our clinical trials are being conducted according to GCP or similar regulations. If we, or a regulatory authority, determine that our third-party vendors are not in compliance with, or have not conducted our clinical trials according to, applicable regulations, we may be forced to exclude certain data from the results of the trial, or delay, repeat or terminate such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oral vaccine platform technology and product candidates or if the scope of the patent protection obtained is not sufficiently broad, we may not be able to compete effectively in our markets.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We seek to protect our proprietary position by filing patent applications in the U.S. and abroad related to our development programs and product candidates. The patent prosecution process is expensive and time-consuming, and we may not be able to file and prosecute all necessary or desirable patent applications, or maintain and enforce any patents that may issue from such patent applications, at a reasonable cost or in a timely manner.</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The patent applications that we own may fail to result in issued patents with claims that cover any of our product candidates in the U.S. or in other countries. There is no assurance that the entire potentially relevant prior art relating to our patents and patent applications has been found, which can invalidate a patent or prevent a patent from issuing from a pending patent application. Even if patents do successfully issue,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product candidates or companion diagnostic that we may develop. Further, if we encounter delays in regulatory approvals, the period of time during which we could market a product candidate and companion diagnostic under patent protection could be reduced.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the patent applications we hold with respect to our platform technology and product candidates fail to issue, if their breadth or strength of protection is threatened, or if they fail to provide meaningful exclusivity for our product candidates, it could dissuade companies from collaborating with us to develop product candidates and threaten our ability to commercialize future drugs. Any such outcome could harm our business.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U.S. For example, European patent law restricts the patentability of methods of treatment of the human body more than U.S. law does.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 candidates, in whole or in part, or which effectively prevent others from commercializing competitive technologies and vaccines.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 Changes in either the patent laws or interpretation of the patent laws in the U.S. and other countries may diminish the value of our patents or narrow the scope of our patent protection.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includes several significant changes to U.S. patent law. These include provisions that affect the way patent applications are prosecuted and may also affect patent litigation. The U.S. Patent Office recently developed new regulations and procedures to govern administration of the Leahy-Smith Act, and many of the substantive changes to patent law associated with the Leahy-Smith Act, notably,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an adverse effect on our business and financial condition.</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we may be subject to a third-party pre-issuance submission of prior art to the U.S. Patent and Trademark Office (“USPTO”) or become involved in derivation, reexamination, inter partes review, post-grant review or interference proceedings challenging our patent rights or the patent rights of others. In other countries, we may be subject to or become involved in opposition proceedings challenging our patent rights or the patent rights of others. An adverse determination in any such submission or proceeding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U.S. and abroad. Such challenges may result in patent claims being narrowed, invalidated or held unenforceable, in whole or in part, which could limit our ability to stop others from using or commercializing similar or identical technology and tablet vaccines, or limit the duration of the patent protection of our technology and product candidates. Moreover, patents have a limited lifespan. In the U.S. and other countries, the natural expiration of a patent is generally 20 years after it is filed. Various extensions may be available, however, the life of a patent, and the protection it affords, is limited. Without patent protection for our current or future tablet vaccine candidates, we may be open to competition from generic versions of such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such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third-party may also cause the third-party to bring counter 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inter partes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9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third party claims we are infringing on its intellectual property rights, we could incur significant expenses or be prevented from further developing or commercializing our product candidates, which could materially harm our business.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success will largely depend on our ability to operate without infringing the patents and other proprietary intellectual property rights of third parties. This is generally referred to as having the “freedom to operate.” However, our research, development and commercialization activities may be subject to claims that we infringe or otherwise violate patents or other intellectual property rights owned or controlled by third parties.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current or future product candidates may be subject to claims of infringement of the patent rights of third parties. The biotechnology and pharmaceutical industries are characterized by extensive litigation regarding patents and other intellectual property rights. The defense and prosecution of intellectual property claims, interference proceedings and related legal and administrative proceedings, both in the U.S. and internationally, involve complex legal and factual questions. As a result, such proceedings are lengthy, costly and time-consuming, and their outcome is highly uncertain. We may become involved in protracted and expensive litigation in order to determine the enforceability, scope and validity of the proprietary rights of others, or to determine whether we have the freedom to operate with respect to the intellectual property rights of others.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Patent applications in the U.S. are, in most cases, maintained in secrecy until approximately 18 months after the patent application is filed. The publication of discoveries in scientific or patent literature frequently occurs substantially later than the date on which the underlying discoveries were made. Therefore, patent applications relating to product candidates similar to ours may have already been filed by others without our knowledge. In the event that a third party has also filed a patent application covering our product candidate or other claims, we may have to participate in an adversarial proceeding, known as an interference proceeding, in the USPTO, or similar proceedings in other countries, to determine the priority of invention. In the event an infringement claim is brought against us, we may be required to pay substantial legal fees and other expenses to defend such a claim and, should we be unsuccessful in defending the claim, we may be prevented from pursuing the development and commercialization of a product candidate and may be subject to injunctions and/or damage awards.</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future, the USPTO or a foreign patent office may grant patent rights to our product candidates or other claims to third parties. Subject to the issuance of these future patents, the claims of which will be unknown until issued, we may need to obtain a license or sublicense to these rights in order to have the appropriate freedom to further develop or commercialize them. Any required licenses may not be available to us on acceptable terms, if at all. If we need to obtain such licenses or sublicenses, but are unable to do so, we could encounter delays in the development of our product candidates, or be prevented from developing, manufacturing and commercializing our product candidates at all. If it is determined that we have infringed an issued patent and do not have the freedom to operate, we could be subject to injunctions, and/or compelled to pay significant damages, including punitive damages. In cases where we have in-licensed intellectual property, our failure to comply with the terms and conditions of such agreements could harm our business.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It is becoming common for third parties to challenge patent claims on any successfully developed product candidate or approved drug. If we or our licensees or collaborators become involved in any patent litigation, interference or other legal proceedings, we could incur substantial expense, and the efforts and attention of our technical and management personnel could be significantly diverted. A negative outcome of such litigation or proceedings may expose us to the loss of our proprietary position or to significant liabilities or require us to seek licenses that may not be available from third parties on commercially acceptable terms, if at all. We may be restricted or prevented from developing, manufacturing and selling our product candidates in the event of an adverse determination in a judicial or administrative proceeding, or if we fail to obtain necessary licenses.</w:t>
      </w:r>
    </w:p>
    <w:p>
      <w:pPr>
        <w:spacing w:after="0" w:line="183"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procedures,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several procedures, documentary fee payments and other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and our licensors fail to maintain the patents and patent applications covering our product candidates, our competitive position would be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U.S. has recently enacted and implemented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covering our product candidates throughout the world would be prohibitively expensive. Competitors may use our technologies in jurisdictions where we have not obtained patent protection to develop their own vaccines and, further, may export otherwise infringing vaccines to territories where we may obtain patent protection, but where patent enforcement is not as strong as that in the U.S. These vaccines may compete with our product candidates in jurisdictions where we do not have any issued or licensed patents and any future patent claims or other intellectual property rights may not be effective or sufficient to prevent them from so competing.</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other biotechnology or pharmaceutical companies. These employees typically executed proprietary rights, non-disclosure and non-competition agreements in connection with their previous employment. Although we try to ensure that our employees do not use the proprietary information or know-how of others in their work for us, we may be subject to claims that it or these employees have used or disclosed intellectual property, including trade secrets or other proprietary information, of any such employee’s former employer.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technology in part by entering into confidentiality agreements with third parties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vaccines and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spacing w:after="0" w:line="18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the appeal of the opposition proceeding of a Vaxart European patent in the European Patent Office is completed, we must now obtain approval of the specification conformed to the new claims and it is possible this will be delayed and would delay revalidation of the patent in various European countries. If revalidation of the application was delayed, we may be delayed in asserting the patent to prevent others in Europe from copying some of our product candidates.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recently concluded the appeal portion of an opposition proceeding of one of our European patents in the European Patent Office (“EPO”). European Patent No. 3307239, which had claims directed to vaccine compositions for norovirus and RSV, was opposed in the EPO. The opposition challenged the validity of European Patent No. 3307239 and the EPO maintained the patent with the original independent claim and with cancelation of some subject matter from dependent claims. The opponent appealed this decision and the Board of Appeal upheld the claims to the extent they were directed to norovirus vaccine compositions, but removed claim subject matter as it related to RSV vaccine compositions. The specification was conformed to the new claims and the Opponents have until March 23, 2026 to object to any of the changes made. This might delay the ultimate reissue of the EP patent and its revalidation in various European states. It is feasible this may delay Vaxart from asserting the patent in Europe until these formalities are resolved.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Until such time, if ever, as we can generate substantial product revenues, we expect to finance our cash needs through a combination of equity offerings, royalties, debt financings, strategic alliances and license and development agreements in connection with any collaborations. We do not currently have any committed external source of funds. To the extent that we raise additional capital by issuing equity securities, our existing stockholders’ ownership may experience substantial dilution, and the terms of these securities may include liquidation or other preferences that adversely affect our common stockholders’ rights. Debt financing and preferred equity financing, if available, may involve agreements that include covenants limiting or restricting our ability to take specific actions, such as incurring additional debt, making capital expenditures, declaring dividends, creating liens, redeeming our stock or making investments.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through collaborations, strategic alliances or marketing, distribution or licensing arrangements with third parties on acceptable terms, we may be required to delay, limit, reduce or terminate our product development or future commercialization efforts or grant rights to develop and market product candidates that we would otherwise develop and market ourselves.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trading price of our common stock could decline. Sales of a substantial number of shares of our common stock in the public market, or the perception that the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in our operations may impact our effective tax rate and may adversely affect our business, financial condition and operating results.</w:t>
      </w:r>
    </w:p>
    <w:p>
      <w:pPr>
        <w:spacing w:after="0" w:line="15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Changes in tax laws in any jurisdiction in which we operate, or adverse outcomes from any tax audits that we may be subject to in any such jurisdictions, could result in an unfavorable change in our effective tax rate in the future, which could adversely affect our business, financial condition, and operating results.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Delaware law could make an acquisition more difficult and may prevent attempts by our stockholders to replace or remove our management.</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Because we are incorporated in Delaware, we are governed by the provisions of Section 203 of the DGCL, which prohibits stockholders owning in excess of 15% of the outstanding company voting stock from merging or combining with the company. Although we believe these provisions collectively provide for an opportunity to receive higher bids by requiring potential acquirers to negotiate with our board of directors, they would apply even if the offer was considered beneficial by some stockholders. In addition, these provisions may frustrate or prevent any attempts by our stockholders to replace or remove management by making it more difficult for stockholders to replace members of our board of directors, which is responsible for appointing the members of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or cybersecurity breaches.</w:t>
      </w:r>
    </w:p>
    <w:p>
      <w:pPr>
        <w:spacing w:after="0" w:line="22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Our business and operations, including our CROs, as well as the operations and systems of entities whose services are necessary to our operations, rely greatly on information technology systems and are vulnerable to damage in the event of failure, natural disasters, security breaches and attacks, interruptions or other cybersecurity incidents. These events may compromise the stability, integrity, or confidentiality of these systems, and the accuracy and integrity of information stored or processed through these systems, and may significantly interrupt our ability to run the business</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successfully. Ransomware attacks, which are becoming increasingly common across all industry sectors and have focused in part on businesses operating in health care markets, can disrupt and even halt ongoing business operations completely. Increasing global tensions, including the ongoing military conflict between Russia and Ukraine, among others, are likely to increase the frequency of cybersecurity incidents.</w:t>
      </w:r>
    </w:p>
    <w:p>
      <w:pPr>
        <w:spacing w:after="0" w:line="1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systems, including onsite datacenters and cloud services, continue to increase in size and complexity, making them potentially vulnerable to breakdown and other disruptions. Disruptions include issues with routine maintenance, upgrades, and patching. These systems continue to become more critical and integrated within our business, especially as we continue to work remotely, and our dependence on them will continue to increase. We rely on the high-availability and redundancies built into our cloud services, but these systems are managed and maintained by the providers and are out of our direct control. Any potential problems and interruptions associated with the implementation, support, security, availability, or maintenance of new or existing systems could disrupt or reduce the efficiency of our operations and materially impact the delivery of development programs.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Cybersecurity incidents, including phishing and spear phishing attacks, distributed denial of service attacks, man-in-the-middle attacks, as well as ransomware and other malware insertions, are becoming more sophisticated and frequent. If these attempts to misappropriate or compromise confidential or proprietary information or infiltrate or sabotage enterprise IT systems were successful, they could result in a loss of or damage to data or applications and even the interruption of basic business operations and financial loss, as well as the risk of legal and regulatory liability. As a result, further development of our product candidates could be substantially delayed. A data breach could risk the exposure of mission critical data or other intellectual property, or expose PII (Personally Identifiable Information) and PHI (Protected Health Information) of company employees or people participating in clinical trials. A successful phishing attempt could lead to further hacking attempts, unauthorized email access or messaging, or other vertical/horizontal cyberattacks. Any of these events could cause substantial reputational injury impacting our business.</w:t>
      </w:r>
    </w:p>
    <w:p>
      <w:pPr>
        <w:spacing w:after="0" w:line="18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changes in inflation and interest rates, changes in trade policy, natural disasters, political crises, geopolitical events, such as the ongoing military conflict between Russia and Ukraine and the war involving Israel, or other macroeconomic conditions, which may in the future negatively impact our business and financial performance.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changes in inflation and interest rates, and uncertainty about economic stability. For example, during 2022 and 2023, the Federal Reserve raised interest rates multiple times in response to concerns about inflation. Higher interest rates, coupled with reduced government spending and volatility in financial markets may increase economic uncertainty and affect consumer spending. Trade policies and geopolitical disputes and conflicts can result in tariffs, sanctions and other measures that restrict international trade, and may adversely affect our costs of doing business, particularly if these measures occur in regions where our suppliers source components or raw materials. Similarly, the ongoing military conflict between Russia and Ukraine and the war involving Israel have created volatility in the global capital markets and are expected to have further global economic consequences, including disruptions of the global supply chain and energy markets.</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Additionally, trade policies and geopolitical disputes and other international conflicts can result in tariffs, sanctions, and other measures that restrict international trade, and can materially adversely affect our business, particularly if these measures occur in regions where drug products are manufactured or raw materials are sourced. With the new presidential administration in the U.S. in 2025, additional and higher tariffs and sanctions may be imposed on goods imported from other countries which could increase the cost of goods needed to commercialize our products and continue development of our product candidates. Further, such actions by the U.S. could result in retaliatory action by those countries which could impact our ability to profitably commercialize our products in those jurisdictions in the future. As a result, our business, operations and financial condition could be materially harmed.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Any such volatility and disruptions may adversely affect our business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w:t>
      </w:r>
    </w:p>
    <w:p>
      <w:pPr>
        <w:spacing w:after="0" w:line="17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(“AI”) presents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incorporate AI solutions into our platform, and these applications may become important in our operations over time. AI presents risks such as inaccuracy, bias, toxicity, intellectual property infringement or misappropriation, data privacy and cybersecurity and data provenance. In addition, AI utilizes machine learning and predictive analytics, which may present flawed, biased, and inaccurate results, and may have errors or inadequacies that are not easily detectable and may also be subject to data herding and interconnectedness (i.e., multiple market participants utilizing the same data), in each case adversely impacting our business. These issues, combined with an uncertain regulatory environment, may further result in reputational harm, liability, or other adverse consequences to our business operations.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or detect fraud.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Consequently, investors could lose confidence in our financial reporting and this may negatively impact the trading price of our common stock.</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quarterly report by management on, among other things, the effectiveness of our internal control over financial reporting. This assessment needs to include disclosure of any material weaknesses identified by our management in our internal control over financial reporting. We are required to disclose changes made in our internal control over financial reporting on a quarterly basis. In addition, because our public float was less than $700 million on June 30, 2022, we re-qualified as a smaller reporting company as of December 31, 2022 and, therefore, we are no longer subject to the requirements for auditor attestation for internal control over financial reporting.</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must maintain effective disclosure and internal controls to provide reliable financial reports. We have been assessing our controls to identify areas that need improvement. Based on our evaluation as of December 31, 2025, we concluded that our internal controls and procedures were effective as of December 31, 2025, however we have identified material weaknesses in the past and may do so again in the future.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Failure to maintain the improvements in our controls as necessary to maintain an effective system of such controls could harm our ability to accurately report our operating results and cause investors to lose confidence in our reported financial information. Any such loss of confidence would have a negative effect on the trading price of our common stock.</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Most of our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vulnerable to damage from catastrophic events, such as power loss, natural disasters, terrorism and similar unforeseen events beyond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operations are located in the San Francisco Bay Area, which in the past has experienced severe earthquakes and fires.</w:t>
      </w:r>
    </w:p>
    <w:p>
      <w:pPr>
        <w:spacing w:after="0" w:line="207"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We do not have a disaster recovery and business continuity plan in place. Earthquakes, fires, floods, hurricanes or other natural disasters could severely disrupt our operations and have a material adverse effect on our business, results of operations, financial condition and prospects.</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such as our financial systems or manufacturing facility, or that otherwise disrupted our operations, it may be difficult or, in certain cases, impossible for us to continue business operations for a substantial period of time.</w:t>
      </w:r>
    </w:p>
    <w:p>
      <w:pPr>
        <w:spacing w:after="0" w:line="17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including those resulting from significant climate change, could adversely affect our business and our third-party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businesses.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Natural disasters, such as hurricanes, tornadoes, floods, wildfire, and drought may impact our operations or our partners’ businesses. Climate change is increasing the frequency, intensity, and duration of these weather events. These natural disasters, including those resulting from significant climate change, could destroy or damage facilities or other properties, disrupt business, increase the probability of power or other outages, or otherwise cause significant economic dislocation in the affected regions. Any of these situations may adversely affect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are subject to risks related to climate change.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long-term effects of global climate change could present both physical risks and transition risks (such as regulatory or technology changes), which are expected to be widespread and unpredictable. Transitional risks include, for example, a disorderly global transition away from fossil fuels that may result in increased energy prices; customer preference for low or no-carbon products; stakeholder pressure to decarbonize assets; or new legal or regulatory requirements that result in new or expanded carbon pricing, taxes, restrictions on greenhouse gas emissions, and increased greenhouse gas disclosure and transparency. These risks could increase operating costs, including the cost of our electricity and energy use, or other compliance costs. Physical risks to our operations include water stress and drought; flooding and storm surge; wildfires; extreme temperatures and storms, which could impact trials, increase costs, or disrupt supply chains. Our supply chain is likely subject to these same transitional and physical risks and would likely pass along any increased costs to us. We do not anticipate that these risks will have a material financial impact to the Company in the near term.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or governance responsibilities has and will likely continue to result in additional costs and risks and may adversely impact our reputation, employee retention and willingness of customers and suppliers to do business with us.</w:t>
      </w:r>
    </w:p>
    <w:p>
      <w:pPr>
        <w:spacing w:after="0" w:line="15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There is an increasing focus from certain customers, consumers, employees and other stakeholders concerning environmental, social and governance (“ESG”) matters, including corporate citizenship and sustainability. Additionally, public interest and legislative pressure related to public companies’ ESG practices continues to grow. If our ESG practices fail to meet regulatory requirements or stakeholders’ evolving expectations and standards for responsible corporate citizenship in areas including environmental stewardship, support for local communities, Board of Director and employee inclusion, human capital management, employee health and safety practices, corporate governance and transparency and employing ESG strategies in our operations, our brand, reputation and employee retention may be negatively impacted, and customers and suppliers may be unwilling to do business with us.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trend of increased environmental regulation is not linear and can fluctuate depending on the administration and jurisdiction, even within the same county. For example, on January 20, 2025, President Trump issued Executive Orders seeking to rescind prior Executive Orders and agency actions enacted by the Biden Administration. These include revoking Biden-era Executive Orders withdrawing certain offshore waters within the Outer Continental Shelf available for oil and gas exploration and imposing a temporary prohibition of offshore wind leasing in the Outer Continental Shelf. We cannot foresee the potential impact and unintended consequences that future Executive Orders or the changes in enforcement of existing laws, rules, and orders may have on our business. Additionally, although the Trump Administration initially withdrew the U.S. from the Paris Agreement in November 2020, the U.S. reentered the Paris Agreement in February 2021 under the Biden Administration, but the Trump Administration again withdrew from the Paris Agreement on January 20, 2025. Though we are closely following developments in this area and changes in the regulatory landscape in the United States and other jurisdictions, we cannot predict with precision or quantify how or when challenges may arise and ultimately impact our business.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in January 2025, President Trump signed a number of Executive Orders focused on diversity, equity, and inclusion (“DEI”), which indicate continued scrutiny of DEI initiatives and potential related investigations of certain private entities with respect to DEI initiatives, including publicly traded companies. If we do not successfully manage expectations across varied stakeholder interests, it could erode stakeholder trust, impact our reputation and constrain our investment opportunities. Such scrutiny of both ESG and DEI related practices could expose us to the risk of litigation, investigations, or challenges by federal or state authorities or result in reputational harm.</w:t>
      </w:r>
    </w:p>
    <w:p>
      <w:pPr>
        <w:spacing w:after="0" w:line="18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Nevertheless, as we work to align our ESG practices with industry standards, we have expanded and, in the future, will likely continue to expand our disclosures in these areas. From time-to-time, we communicate certain initiatives, including goals, regarding environmental matters, responsible sourcing and social investments. We also expect to incur additional costs and require additional resources to monitor, report and comply with our various ESG practices. The standards for tracking and reporting on ESG matters are relatively new, have not been harmonized and continue to evolve. The disclosure frameworks we choose to align with, if any, may change from time to time and may result in a lack of consistent or meaningful comparative data from period to period. Ensuring there are systems and processes in place to comply with various ESG tracking and reporting obligations will require management time and expense. In addition, our processes and controls may not always comply with evolving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we fail to adopt ESG standards or practices as quickly as stakeholders desire, fail, or be perceived to fail, in our achievement of such initiatives or goals, or fail in fully and accurately reporting our progress on such initiatives and goals, our reputation, business, financial performance and growth may be adversely impacted.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0" w:lineRule="exact"/>
        <w:rPr>
          <w:sz w:val="20"/>
          <w:szCs w:val="20"/>
          <w:color w:val="auto"/>
        </w:rPr>
      </w:pPr>
    </w:p>
    <w:p>
      <w:pPr>
        <w:spacing w:after="0" w:line="27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maintains general cybersecurity policies and procedures to assess, identify, and manage cyber threats, and has designated personnel to implement and maintain these policies and procedures, subject to oversight by our management and board of directors.</w:t>
      </w:r>
    </w:p>
    <w:p>
      <w:pPr>
        <w:spacing w:after="0" w:line="15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Company has implemented various technical, physical and administrative security controls to account for these and other cybersecurity threats. For example, we have implemented technical security controls focused on ensuring the security and protection of computer systems and networks; all pertinent domestic operating entities of the Company are required to adhere to a standardized “Company Confidentiality System,” which is centrally overseen and enforced, subject to oversight by our management and board of directors. This Company Confidentiality System includes specific provisions for information pertaining to network security, data security, and information that, if compromised, could have detrimental effects on the public interest and the Company. The Company and its employees are also required to sign confidentiality agreements for purposes including helping to ensure cybersecurity. The Company has taken measures to better ensure that key employees are aware of data security threats (including cybersecurity threats), and Company security policies and procedures, as appropriate. Improper or illegitimate use of the Company’s information system resources or violation of the Company’s information security policies and procedures may result in disciplinary action.</w:t>
      </w:r>
    </w:p>
    <w:p>
      <w:pPr>
        <w:spacing w:after="0" w:line="18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As of the date of this report, we are not aware of any material risks from cybersecurity threats that have in the reporting calendar year materially affected or are reasonably likely to materially affect the Company, including our business strategy, results of operations, or financial condition.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relies on third-party service providers for critical or key infrastructure and solutions across various Company operations. Cybersecurity incidents that impact third-party service providers have significantly increased in recent years and represent a continuing risk to the Company. The Company has sought to mitigate this risk through specific cybersecurity controls, designed to assess the business and security controls implemented by key information services to the Company, which are annually audited and subject to oversight by management and the board of directors.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any real property. Our leased facilities as of December 31, 2025, are as follows:</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00" w:type="dxa"/>
            <w:vAlign w:val="bottom"/>
          </w:tcPr>
          <w:p>
            <w:pPr>
              <w:spacing w:after="0"/>
              <w:rPr>
                <w:sz w:val="18"/>
                <w:szCs w:val="18"/>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180" w:type="dxa"/>
            <w:vAlign w:val="bottom"/>
          </w:tcPr>
          <w:p>
            <w:pPr>
              <w:spacing w:after="0"/>
              <w:rPr>
                <w:sz w:val="18"/>
                <w:szCs w:val="18"/>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Primary Use</w:t>
            </w:r>
          </w:p>
        </w:tc>
        <w:tc>
          <w:tcPr>
            <w:tcW w:w="180" w:type="dxa"/>
            <w:vAlign w:val="bottom"/>
          </w:tcPr>
          <w:p>
            <w:pPr>
              <w:spacing w:after="0"/>
              <w:rPr>
                <w:sz w:val="18"/>
                <w:szCs w:val="18"/>
                <w:color w:val="auto"/>
              </w:rPr>
            </w:pP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Lease Terms</w:t>
            </w:r>
          </w:p>
        </w:tc>
      </w:tr>
      <w:tr>
        <w:trPr>
          <w:trHeight w:val="212"/>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198"/>
        </w:trPr>
        <w:tc>
          <w:tcPr>
            <w:tcW w:w="17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South San Francisco,</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63,398 sq ft</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Laboratory,</w:t>
            </w:r>
          </w:p>
        </w:tc>
        <w:tc>
          <w:tcPr>
            <w:tcW w:w="18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Four leases expiring between May 2026 and</w:t>
            </w:r>
          </w:p>
        </w:tc>
      </w:tr>
      <w:tr>
        <w:trPr>
          <w:trHeight w:val="21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w:t>
            </w:r>
          </w:p>
        </w:tc>
        <w:tc>
          <w:tcPr>
            <w:tcW w:w="1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2029</w:t>
            </w:r>
          </w:p>
        </w:tc>
      </w:tr>
      <w:tr>
        <w:trPr>
          <w:trHeight w:val="234"/>
        </w:trPr>
        <w:tc>
          <w:tcPr>
            <w:tcW w:w="1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8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existing facilities are adequate for our current needs.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w:t>
      </w:r>
      <w:r>
        <w:rPr>
          <w:rFonts w:ascii="Times New Roman" w:cs="Times New Roman" w:eastAsia="Times New Roman" w:hAnsi="Times New Roman"/>
          <w:sz w:val="18"/>
          <w:szCs w:val="18"/>
          <w:u w:val="single" w:color="auto"/>
          <w:color w:val="0000EE"/>
        </w:rPr>
        <w:t>Note 8</w:t>
      </w:r>
      <w:r>
        <w:rPr>
          <w:rFonts w:ascii="Times New Roman" w:cs="Times New Roman" w:eastAsia="Times New Roman" w:hAnsi="Times New Roman"/>
          <w:sz w:val="18"/>
          <w:szCs w:val="18"/>
          <w:color w:val="auto"/>
        </w:rPr>
        <w:t xml:space="preserve">. Commitments and Contingencies, section—(c) </w:t>
      </w:r>
      <w:r>
        <w:rPr>
          <w:rFonts w:ascii="Times New Roman" w:cs="Times New Roman" w:eastAsia="Times New Roman" w:hAnsi="Times New Roman"/>
          <w:sz w:val="18"/>
          <w:szCs w:val="18"/>
          <w:u w:val="single" w:color="auto"/>
          <w:color w:val="0000EE"/>
        </w:rPr>
        <w:t>Litigation</w:t>
      </w:r>
      <w:r>
        <w:rPr>
          <w:rFonts w:ascii="Times New Roman" w:cs="Times New Roman" w:eastAsia="Times New Roman" w:hAnsi="Times New Roman"/>
          <w:sz w:val="18"/>
          <w:szCs w:val="18"/>
          <w:color w:val="auto"/>
        </w:rPr>
        <w:t>” to the Consolidated Financial Statements in Part II,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incorporated by reference into this Item.</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may also from time to time be involved in legal proceedings arising in connection with our business. Based on information currently available, we believe that the amount, or range, of reasonably possible losses in connection with any pending actions against it in excess of established reserves, in the aggregate, is not material to its consolidated financial condition or cash flows. However, any current or future dispute resolution or legal proceeding, regardless of the merits of any such proceeding, could result in substantial costs and a diversion of management’s attention and resources that are needed to run our business successfully, and could have a material adverse impact on our business, financial condition and results of operations.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exclusively on the OTCQX® Best Market under the symbol “VXRT”.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February 6, 2026, there were approximately 1,369 holders of record of our common stock, one of which was Cede &amp; Co., a nominee for Depository Trust Company (“DTC”). The actual number of stockholders is greater than this number of holders of record and includes stockholders who are beneficial owners, but whose shares are held in “street name” by brokerage firms, banks and other financial institutions or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Vaxart, Inc. under the Securities Act or the Exchange Act.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from December 31, 2020, through December 31, 2025, of the cumulative total return for our common stock, the Nasdaq Biotechnology Index, the Nasdaq Composite Index, and the Nasdaq US Small Cap Biotechnology Index, each of which assumes an initial investment of $100 and reinvestment of any dividends. Such returns are based on historical prices which may not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123190</wp:posOffset>
            </wp:positionV>
            <wp:extent cx="6858000" cy="33686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0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We have never declared or paid dividends on shares of our common stock. We intend to retain future earnings, if any, to support the development of our business and therefore do not anticipate paying cash dividends for the foreseeable future. Payment of future dividends, if any, will be at the discretion of our board of directors after considering various factors, including current financial condition, operating results and current and anticipated cash needs.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other sections of this Annual Report, including our consolidated financial statements and notes thereto included elsewhere. This discussion contains a number of forward-looking statements that reflect our plans, estimates and beliefs. Our actual results could differ materially from those discussed in the forward-looking statements. Factors that could cause or contribute to these differences include those discussed below and elsewhere in the Annual Report, particularly in Item 1A – “Risk Factors.” The forward-looking statements made in this Annual Report are made only as of the date hereof.</w:t>
      </w:r>
    </w:p>
    <w:p>
      <w:pPr>
        <w:spacing w:after="0" w:line="183"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in our Annual Report on Form 10-K filed on March 20, 2025, for discussion and analysis of results of operations for the year ended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primarily focused on the development of oral recombinant vaccines based on our Vector-Adjuvant-Antigen Standardized Technology (“VAAST”) proprietary oral vaccine platform. 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 Our oral vaccines are designed to generate broad and durable immune responses that may protect against a wide range of infectious diseases and may be useful for the treatment of chronic viral infections and cancer. Our investigational vaccines are administered using a room temperature-stable tablet, rather than by injection.</w:t>
      </w:r>
    </w:p>
    <w:p>
      <w:pPr>
        <w:spacing w:after="0" w:line="18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Vaxart Biosciences, Inc. was originally incorporated in California under the name West Coast Biologicals, Inc. in March 2004 and changed its name to Vaxart, Inc. (“Private Vaxart”) in July 2007, when it reincorporated in the state of Delaware. 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Royalty Revenue Related to Sale of Future Royalties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2016, Aviragen sold certain royalty rights related to Inavir in the Japanese market for $20.0 million to HealthCare Royalty Partners III,</w:t>
      </w:r>
    </w:p>
    <w:p>
      <w:pPr>
        <w:spacing w:after="0" w:line="2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L.P. (“HCRP”). Under the terms of our agreement with HCRP, during the first royalty interest period of April 1, 2016 through March 31, 2025, HCRP is entitled to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A shortfall occurs when, during an annual period ending on March 31, for the first royalty interest period of April 1, 2016 through March 31, 2025, royalty payments fall below $3.0 million; and $2.7 million for the second royalty interest period of April 1, 2025 and ending on December 24, 2029, excluding the period of April 1, 2028 through December 24, 2029. In the event there is a remaining cumulative remaining shortfall amount as of December 24, 2029, then, for so long as the Company continues to receive royalties from Daiichi Sankyo Company Limited (“Daiichi Sankyo”), the sum of those royalties will be paid to HCRP until the cumulative remaining shortfall amount has been paid in full.</w:t>
      </w:r>
    </w:p>
    <w:p>
      <w:pPr>
        <w:spacing w:after="0" w:line="19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are not obligated to pay HCRP any royalty payment beyond what we are paid by Daiichi Sankyo. The cumulative remaining shortfall amount is the aggregate amount of the shortfall for each annual period, which was $4.4 million as of December 31, 2025. Even though we do not currently retain the related royalties under the transaction, as the amounts are remitted to HCRP, we will continue to record revenue related to these royalties until the amount of the associated liability and related interest is fully amortized.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Government Contracts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January 2024, we were awarded the 2024 ASPR-BARDA Contract by HHS BARDA, with a base and all options value of $9.3 million. Under the 2024 ASPR-BARDA Contract, we received an award to support clinical trial planning activities for a Phase 2b clinical trial that would compare our XBB vaccine candidate to an mRNA comparator to evaluate efficacy for symptomatic and asymptomatic disease, systemic and mucosal immune induction, and adverse events. Revenue from government contracts recognized on the 2024 ASPR-BARDA Contract was $0.6 million and $8.7 million for the years ended December 31, 2025 and 2024, respectively, based on the achievement of certain milestones under the 2024 ASPR-BARDA Contract.</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June 2024, we entered into the 2024 ATI-RRPV Contract. In the second half of 2024, the 2024 ATI-RRPV Contract was modified to increase funding and expand the scope to include the manufacture of a vaccine candidate targeting the KP.2 strain and acquire an approved mRNA vaccine targeting the KP.2 strain. Pursuant to the 2024 ATI-RRPV Contract (as modified or amended from time to time), we may receive funding of up to $460.7 million to conduct a Phase 2b comparative study evaluating our oral pill COVID-19 vaccine candidate against an mRNA vaccine comparator approved by the FDA. Pursuant to Modification No. 6 to the 2024 ATI-RRPV Contract, dated March 10, 2026, the 2024 ATI-RRPV Contract makes available an aggregate amount of up to $316.0 million, consisting of firm fixed price amounts totaling $67.9 million and reimbursement of costs incurred in trial preparation and execution activities. The 2024 ATI-RRPV Contract further contemplates additional funding up to $144.7 million if we and HHS BARDA decide to continue with the Phase 2b comparative study. The Company anticipates a further modification to the 2024 ATI-RRPV Contract that will reflect the reduced scope of work and corresponding reduction in funding that resulted from previously issued stop work orders.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 from government contracts recognized on the 2024 ATI-RRPV Contract was $223.9 million and $16.2 million for the years ended December 31, 2025 and 2024, respectively, based on costs incurred and the achievement of firm fixed-price milestones under the 2024 ATI-RRPV Contract. For further information about the August 5, 2025 SWO relating to the 2024 ATI-RRPV Contract, see the discussion above in Part I, Item 1 titled “—Our Product Pipeline” in the “Our COVID-19 Program” for further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Dynavax License and Collaboration Agreement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4, 2025, the Company entered into an Exclusive License and Collaboration Agreement (“2025 License and Collaboration Agreement”) with Dynavax Technologies Corporation (“Dynavax”) relating to the Company’s investigational oral vaccine candidate for COVID-19 based on its proprietary oral delivery platform. Pursuant to the 2025 License and Collaboration Agreement, the Company granted Dynavax an exclusive, worldwide license to develop and commercialize the Company’s oral pill COVID-19 vaccine candidate for SARS-CoV-2, SARS coronavirus, or MERS coronavirus, including COVID-19 and all variants thereof. Under the terms of the 2025 License and Collaboration Agreement, Dynavax paid the Company an upfront license fee of $25.0 million and pursuant to the Securities Purchase Agreement (“2025 Securities Purchase Agreement”), purchased 11,111,111 shares of the Company’s common stock for $5.0 million. The common stock was issued at a price above its fair value on the issuance date, and the resulting premium of approximately $0.8 million was determined to represent additional consideration attributable to the 2025 License and Collaboration Agreement. Accordingly, this amount was included in the transaction price and allocated to the identified performance obligations.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agreement also includes a development collaboration component under which the Company is responsible for completing its ongoing Phase 2b clinical trial and delivering the end-of-Phase 2 data package. Following delivery of the data package and the end-of-Phase 2 meeting with the FDA, Dynavax has the right, in its sole discretion, to assume responsibility for continued development of the vaccine candidate, which would require Dynavax to pay the Company a $50.0 million election payment. The agreement also provides for potential additional regulatory and commercial milestone payments and royalties on future product sales, if any, upon the achievement of specified events.</w:t>
      </w:r>
    </w:p>
    <w:p>
      <w:pPr>
        <w:spacing w:after="0" w:line="183" w:lineRule="exact"/>
        <w:rPr>
          <w:sz w:val="20"/>
          <w:szCs w:val="20"/>
          <w:color w:val="auto"/>
        </w:rPr>
      </w:pPr>
    </w:p>
    <w:p>
      <w:pPr>
        <w:jc w:val="both"/>
        <w:ind w:right="540"/>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2025, the Company recognized revenue of $10.8 million from the 2025 License and Collaboration Agreement. As of December 31, 2025, the amount of deferred revenue was $15.0 million, of which $13.0 million was classified as current and $2.0 million as non-current. This amount is expected to be recognized as the performance obligation is satisfied through the completion of the development program.</w:t>
      </w:r>
    </w:p>
    <w:p>
      <w:pPr>
        <w:spacing w:after="0" w:line="15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timing and amount of future revenue recognition under the agreement will depend on the progress and completion of the Company’s development activities and, if applicable, the achievement of potential milestone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on conducting research, such as developing our tablet vaccine platform, and supporting preclinical and clinical development activities of our tablet vaccine candidates. We recognize all research and development costs as they are incurred. Research and development expenses consist primarily of the following:</w:t>
      </w:r>
    </w:p>
    <w:p>
      <w:pPr>
        <w:spacing w:after="0" w:line="17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and stock-based compensation;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that conduct clinical trials on our behalf;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(“CMOs”), that manufacture product used in the clinical trials;</w:t>
      </w:r>
    </w:p>
    <w:p>
      <w:pPr>
        <w:spacing w:after="0" w:line="252"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procuring materials and for analytical and release testing services required to produce vaccine candidates used in clinical trials;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development expenses incurred internally and externally to improve the efficiency and yield of the bulk vaccine and tablet manufacturing activities;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vendor expenses related to preclinical research activities;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expenses for services supporting our clinical, regulatory and manufacturing activities;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allocated overhead expenses.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allocate our internal expenses to specific programs. Our employees and other internal resources are not directly tied to any one research program and are typically deployed across multiple projects. Internal research and development expenses are presented as one total.</w:t>
      </w:r>
    </w:p>
    <w:p>
      <w:pPr>
        <w:sectPr>
          <w:pgSz w:w="11900" w:h="16954" w:orient="portrait"/>
          <w:cols w:equalWidth="0" w:num="1">
            <w:col w:w="11200"/>
          </w:cols>
          <w:pgMar w:left="320" w:top="121" w:right="379" w:bottom="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incurred significant external costs for CROs that conduct clinical trials on our behalf. We have captured these external costs for each vaccine program. We do not allocate external costs incurred on preclinical research or process development to specific programs.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shows our period-over-period research and development expenses, identifying external costs that were incurred in each of our vaccine programs and, separately, on preclinical research and process development for years ended December 31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r>
      <w:tr>
        <w:trPr>
          <w:trHeight w:val="209"/>
        </w:trPr>
        <w:tc>
          <w:tcPr>
            <w:tcW w:w="56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program costs: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Norovirus program</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program</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155,049</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programs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Preclinical research</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development</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external costs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159,845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51,940</w:t>
            </w:r>
          </w:p>
        </w:tc>
      </w:tr>
      <w:tr>
        <w:trPr>
          <w:trHeight w:val="249"/>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201,576</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74,213</w:t>
            </w:r>
          </w:p>
        </w:tc>
      </w:tr>
    </w:tbl>
    <w:p>
      <w:pPr>
        <w:spacing w:after="0" w:line="19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expect to incur significant research and development expenses in 2026 and beyond as we advance our tablet vaccine candidates into and through clinical trials, pursue regulatory approval of our tablet vaccine candidates and prepare for a possible commercial launch, all of which will also require a significant investment in manufacturing and inventory related costs. To the extent that we enter into licensing, partnering or collaboration agreements, a significant portion of such costs may be borne by third parties.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achieving marketing approval for our tablet vaccine candidates. The probability of successful commercialization of our tablet vaccine candidates may be affected by numerous factors, including clinical data obtained in future trials, competition, manufacturing capability and commercial viability. As a result, we are unable to determine the duration and completion costs of our research and development projects or when and to what extent we will generate revenue from the commercialization and sale of any of our tablet vaccine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insurance, allocated expenses and expenses for outside professional services, including legal, audit, accounting, public relations, market research and other consulting services. Personnel costs consist of salaries, benefits and stock-based compensation. Allocated expenses consist of rent, depreciation and other facilities-related expenses.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period-over-period changes in selected items in the consolidated statements of operations and comprehensive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years ended December 31 (in thousands, except percentages):</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237,258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w:t>
            </w:r>
          </w:p>
        </w:tc>
      </w:tr>
      <w:tr>
        <w:trPr>
          <w:trHeight w:val="216"/>
        </w:trPr>
        <w:tc>
          <w:tcPr>
            <w:tcW w:w="3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219,184</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94,993</w:t>
            </w:r>
          </w:p>
        </w:tc>
      </w:tr>
      <w:tr>
        <w:trPr>
          <w:trHeight w:val="210"/>
        </w:trPr>
        <w:tc>
          <w:tcPr>
            <w:tcW w:w="3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18,074</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(66,293)</w:t>
            </w:r>
          </w:p>
        </w:tc>
      </w:tr>
      <w:tr>
        <w:trPr>
          <w:trHeight w:val="216"/>
        </w:trPr>
        <w:tc>
          <w:tcPr>
            <w:tcW w:w="3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non-operating expense</w:t>
            </w: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09"/>
        </w:trPr>
        <w:tc>
          <w:tcPr>
            <w:tcW w:w="3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(66,688)</w:t>
            </w:r>
          </w:p>
        </w:tc>
      </w:tr>
      <w:tr>
        <w:trPr>
          <w:trHeight w:val="216"/>
        </w:trPr>
        <w:tc>
          <w:tcPr>
            <w:tcW w:w="3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09"/>
        </w:trPr>
        <w:tc>
          <w:tcPr>
            <w:tcW w:w="3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6"/>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revenue for years ended December 31 (in thousands, except percentages):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royalty revenue related to sale of future royalties</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3,842</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government contracts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224,516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24,858</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237,258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28,700</w:t>
            </w: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Royalty Revenue Related to Sale of Future Royalties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non-cash royalty revenue related to the sale of future royalties from Daiichi Sankyo was $1.9 million, compared to $3.8 million for the year ended December 31, 2024. We continue to have non-cash royalty revenue as all royalties received in the years ended December 31, 2025 and 2024 were required to be paid to HCRP.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Government Contracts</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For the years ended December 31, 2025 and 2024, revenue from government contracts was $224.5 million and $24.9 million, respectively. The revenue from government contracts consists of the 2024 ASPR-BARDA Contract awarded to us in January 2024 and the 2024 ATI-RRPV Contract awarded to us in June 2024. Revenue from the 2024 ASPR-BARDA Contract was $0.6 million and $8.7 million for the years ended December 31, 2025 and 2024, respectively. Revenue from the ATI-RRPV Contract was $223.9 million and $16.2 million for the years ended December 31,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license revenue was $8.7 million, and collaboration revenue was $2.1 million, compared to zero for the year ended December 31, 2024. The license and collaboration revenue derives from the 2025 License and Collaboration Agreement signed in November 2025. Revenue recognized during 2025 primarily relates to the transfer of the exclusive license and the portion of the upfront consideration allocated to development activities performed during the period.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29"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operating expenses for years ended December 31 (in thousands, except percentages):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201,576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74,213</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17,608</w:t>
            </w: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20,780</w:t>
            </w: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219,184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94,993</w:t>
            </w: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research and development expenses were $201.6 million, an increase of $127.4 million, or 172%, compared to</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$74.2 million for the year ended December 31, 2024. The increase was primarily due to clinical trial expenses related to our COVID-19 vaccine candidate, partially offset by a decrease in expense related to manufacturing, preclinical, personnel costs and facilities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general and administrative expenses were $17.6 million, a decrease of $3.2 million, or 15%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 million for the year ended December 31, 2024. The decrease was primarily due to personnel costs, legal and professional fees, and facilities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Expense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net non-operating expense for years ended December 31 (in thousands, except percentages):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3"/>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18"/>
                <w:szCs w:val="18"/>
                <w:color w:val="auto"/>
              </w:rPr>
            </w:pPr>
          </w:p>
        </w:tc>
      </w:tr>
      <w:tr>
        <w:trPr>
          <w:trHeight w:val="210"/>
        </w:trPr>
        <w:tc>
          <w:tcPr>
            <w:tcW w:w="5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non-operating expense</w:t>
            </w:r>
          </w:p>
        </w:tc>
        <w:tc>
          <w:tcPr>
            <w:tcW w:w="138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8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color w:val="auto"/>
                <w:w w:val="99"/>
              </w:rPr>
              <w:t>87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recorded interest income of $1.6 million, a 37% decrease from the $2.5 million interest income recorded in the year ended December 31, 2024. The decrease is primarily due to lower cash, cash equivalents and investments balance, and lower interest rates in 2025.</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Non-cash interest expense related to sale of future royalties representing imputed interest on the unamortized portion of the sale of future royalties liability, decreased to $2.8 million for the year ended December 31, 2025, from $3.0 million in 2024, due to a decrease in non-cash royalty revenue payable to HCRP.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provision for income taxes for years ended December 31 (in thousands, except percentages):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withholding tax on royalty revenue</w:t>
            </w: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 payable on intercompany interest</w:t>
            </w:r>
          </w:p>
        </w:tc>
        <w:tc>
          <w:tcPr>
            <w:tcW w:w="11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$0.5 million and $0.3 million for the years ended December 31, 2025 and 2024, respectively. The tax charge primarily relates to interest on an intercompany loan from a foreign subsidiary, and a 5% withholding tax on royalty revenue earned on sales of Inavir in Japan, which is potentially recoverable as a foreign tax credit but expensed because we record a 100% valuation allowance against our deferred tax assets. The amount of income tax expense recorded is directly proportional to Inavir royalties, including the portion that we pass through to HCRP.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with no product sales. Our primary source of financing is from the sale and issuance of common stock in public offerings as well as funding from HHS BARDA. In the past, we have also obtained funds from the issuance of common stock warrants, secured debt and preferred stock and from collaboration agreements.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September 2021, we entered into a Controlled Equity Offering Sales Agreement (the “September 2021 ATM”), under which we may offer and sell, from time to time through sales agents, shares of our common stock having an aggregate offering price of up to $100 million. We incurred direct expenses and paid sales commissions of up to 3.0% of gross proceeds from the sale of shares under the September 2021 ATM. In the year ended December 31, 2024, 7,719,641 shares were issued and sold under the September 2021 ATM for gross proceeds of $9.1 million, which, after deducting sales commissions and expenses incurred to date, resulted in net proceeds of $8.8 million. Effective October 18, 2024, the Company terminated the September 2021 ATM and discontinued all offers and sales of common stock thereunder.</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 January 2024, we entered into a securities purchase agreement (the “2024 Securities Purchase Agreement”) with RA Capital Healthcare Fund, L.P. pursuant to which 15,384,615 shares of our common stock were sold to RA Capital Healthcare Fund, L.P. at an offering price of $0.65 per share. The gross proceeds from the 2024 Securities Purchase Agreement were $10.0 million and, after deducting offering expenses, the net proceeds were $9.9 million.</w:t>
      </w:r>
    </w:p>
    <w:p>
      <w:pPr>
        <w:spacing w:after="0" w:line="15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January 2024, we were awarded the 2024 ASPR-BARDA Contract with a base and all options value of $9.3 million. Under the 2024 ASPR-BARDA Contract, we received an award to support clinical trial planning activities for a Phase 2b clinical trial that would compare our XBB vaccine candidate to an mRNA comparator to evaluate efficacy for symptomatic and asymptomatic disease, systemic and mucosal immune induction, and adverse events. The</w:t>
      </w:r>
    </w:p>
    <w:p>
      <w:pPr>
        <w:spacing w:after="0" w:line="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2024 ASPR-BARDA Contract originally had a period of performance term that was set to expire in July 2024, but we entered into an amendment in July 2024 that extended the period of performance expiration date into October 2024. BARDA and Vaxart are currently discussing contract closeout for the 2024 ASPR-BARDA Contract. As of December 31, 2024, we received approximately $9.3 million of cash payments under the 2024 ASPR-BARDA Contract.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2024, we entered into an underwriting agreement with Oppenheimer &amp; Co. Inc., relating to the issuance and sale by us in an underwritten registered direct offering (the “June 2024 Offering”) of 50,000,000 shares of our common stock at a price of $0.80 per share. The gross proceeds to us from such offering were $40.0 million, and after deducting the underwriting discounts and commissions and other offering expenses paid by us, the net proceeds were $37.5 million.</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June 2024, we entered into the 2024 ATI-RRPV Contract. Pursuant to the 2024 ATI-RRPV Contract, we may receive funding of up to $460.7 million to conduct a Phase 2b comparative study evaluating our oral pill COVID-19 vaccine candidate against an mRNA vaccine comparator approved by the U.S. Food and Drug Administration, manufacture a COVID-19 vaccine candidate targeting the KP.2 strain, and acquire an approved mRNA vaccine targeting the KP.2 strain. As of December 31, 2025, we have received $189.1 million of cash payments under the 2024 ATI-RRPV Contract. Subsequent to December 31, 2025, through the filing date of this Annual Report on Form 10-K, we have received $14.2 million under the 2024 ATI-RRPV Contract. On August 5, 2025, the Company received written notification from ATI in the form of a stop work order directing the Company to stop work on screening and enrollment for the COVID-19 Phase 2b trial under the 2024 ATI-RRPV Contract as of the notification date. On October 8, 2025, the Company received a follow-up notice from ATI, which indicated that BARDA intends to conclusively exclude work subject to the foregoing stop work order from the 2024 ATI-RRPV Contract. The Company may, however, continue efforts associated with the per protocol follow-up of all participants dosed as of the notification date in the study under the terms of the 2024 ATI-RRPV Contract. As of the August notification date, the Company had enrolled approximately half of the targeted number of participants for the study. On March 10, 2026, we entered into Modification No. 6 to the 2024 ATI-RRPV Contract, which increased the total amount of funding available for payment to approximately $316.0 million. The Company anticipates a further modification to the 2024 ATI-RRPV Contract that will reflect the reduced scope of work and corresponding reduction in funding that resulted from previously issued stop work orders.</w:t>
      </w:r>
    </w:p>
    <w:p>
      <w:pPr>
        <w:spacing w:after="0" w:line="19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March 2025, the Company entered into an At the Market Offering Agreement (the “March 2025 ATM”) with Citizens JMP Securities, LLC (“Citizens”) and B. Riley Securities, Inc. (“B. Riley” and, together with Citizens, the “Managers”), pursuant to which the Company may offer and sell, from time to time through the Managers, shares of its common stock having an aggregate offering price of up to $50 million. The shares will be sold pursuant to an effective registration statement on Form S-3 (Registration Statement No. 333-270671), as previously filed with the U.S. Securities and Exchange Commission (the “SEC”). The Company filed a prospectus supplement, dated March 21, 2025, with the SEC in connection with the offer and sale of the shares under the March 2025 ATM. The Company will pay the Managers a placement fee of up to 3% of the gross sale price from each sale of the shares under the March 2025 ATM. During the year ended December 31, 2025, 382,700 shares were issued and sold under the March 2025 ATM for gross proceeds of $0.2 million, which, after deducting sales commissions and expenses incurred to date, resulted in net proceeds of $0.1 million. As of December 31, 2025, approximately $48.4 million of our common stock remained available for issuance and sale pursuant to the March 2025 ATM. However, we are unable to leverage the ATM at this time because our common stock has been delisted from trading on The Nasdaq Capital Market.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Effective July 8, 2025, Nasdaq suspended trading in our common stock and Vaxart, Inc. was formally delisted from Nasdaq following a final determination by the Nasdaq's Listing Qualifications Department on November 3, 2025. Our common stock has been quoted on the OTCQX under the ticker symbol “VXRT” since the stock was suspended from trading on Nasdaq on July 8, 2025. The National Securities Markets Improvement Act of 1996 prevents or preempts the states from regulating the sale of certain securities, which are referred to as “covered securities.” As Nasdaq has officially delisted our securities, our securities are not covered securities since OTCQX-traded securities are not considered covered securities, and we will need to follow each state’s blue sky laws for offers and sales of our securities made to residents of that state. This state-level regulation introduces additional compliance requirements for brokers to consider when trading in our securities and will further negatively impact any trading liquidity in our securities.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4, 2025, the Company entered into (i) an Exclusive License and Collaboration Agreement (the “License and Collaboration Agreement”) with Dynavax Technologies Corporation (“Dynavax”) relating to the Company’s investigational oral vaccine candidate for COVID-19 based on its proprietary oral delivery platform and (ii) a Securities Purchase Agreement with Dynavax for the sale of the Company’s common stock. Pursuant to the License and Collaboration Agreement, the Company granted Dynavax an exclusive, worldwide license to develop and commercialize the Company’s oral pill COVID-19 vaccine candidate for SARS-CoV-2, SARS coronavirus, or MERS coronavirus, including COVID-19 and all variants thereof. Under the terms of the License and Collaboration Agreement, Dynavax paid the Company an upfront license fee of $25.0 million and purchased $5.0 million of the Company’s common stock pursuant to the Securities Purchase Agreement. The License and Collaboration Agreement includes a collaboration component designed to facilitate the efficient development, regulatory approval, and commercialization of products within the defined field of use, as described in greater detail in the Current Report on Form 8-K filed by the Company with the SEC on November 5, 2025. Pursuant to the Securities Purchase Agreement, the Company sold and issued 11,111,111 shares of common stock at a per share purchase price of $0.45 under the Company’s shelf registration statement on Form S-3, including the prospectus dated May 5, 2025 contained therein, and the prospectus supplement dated November 4, 2025.</w:t>
      </w:r>
    </w:p>
    <w:p>
      <w:pPr>
        <w:spacing w:after="0" w:line="1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February 10, 2026, Sanofi completed its acquisition of Dynavax. As a result of the consummation of the merger, Dynavax became an indirect wholly owned subsidiary of Sanofi. There can be no assurance that Sanofi will continue to perform the obligations under the 2025 License and Collaboration Agreement or that Sanofi will not exercise its right to terminate the agreement.</w:t>
      </w:r>
    </w:p>
    <w:p>
      <w:pPr>
        <w:spacing w:after="0" w:line="1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As of December 31, 2025, we had approximately $63.8 million of cash, cash equivalents and short-term investments. We believe our cash, cash equivalents and investments are sufficient to fund our planned operations for at least 12 months from the date of issuance of this Annual Report. To continue operations thereafter, we expect that we will need to raise further capital, through the sale of additional securities or otherwise. Our future capital requirements and the adequacy of our available funds will depend on many factors, most notably our ability to successfully commercialize our products and services.</w:t>
      </w:r>
    </w:p>
    <w:p>
      <w:pPr>
        <w:spacing w:after="0" w:line="16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fund a significant portion of our ongoing operations through partnering and collaboration agreements which, while reducing our risks and extending our cash runway, will also reduce our share of eventual revenues, if any, from our vaccine candidates. We may be able to fund certain activities with assistance from government programs. The sale of additional equity would result in additional dilution to our stockholders. We may also fund our operations through debt financing, which would result in debt service obligations, and the instruments governing such debt could provide for operating and financing covenants that would restrict our operations. If we are unable to raise additional capital in sufficient amounts or on acceptable terms, we may be required to delay, limit, reduce, or terminate our product development or future commercialization efforts or grant rights to develop and market vaccine candidates that we would otherwise prefer to develop and market ourselves. Any of these actions could harm our business, results of operations and prospects.</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Based on management’s current plan, we expect to have cash runway into the second quarter of 2027. Accordingly, management concluded that the conditions and events that previously raised substantial doubt about our ability to continue as a going concern have been alleviated. The accompanying consolidated financial statements have been prepared assuming that we will continue as a going concern, which contemplates the realization of assets and the settlement of liabilities and commitments in the normal course of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the following:</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our planned preclinical studies for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our planned clinical trials of our product candidates;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including the availability of contract manufacturing organizations to supply our product candidates at reasonable cost;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royalties received on sales of Inavir;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our future products, which will be subject to receipt of regulatory approval;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collaborations, licensing, consulting or other arrangements that we may enter into;</w:t>
      </w:r>
    </w:p>
    <w:p>
      <w:pPr>
        <w:spacing w:after="0" w:line="252"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payments that may be required in connection with the licensing, filing, prosecution, maintenance, defense and enforcement of any patents or patent applications or other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listed on the Nasdaq Capital Market;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(44,764)</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(21,324)</w:t>
            </w: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56,562</w:t>
            </w:r>
          </w:p>
        </w:tc>
      </w:tr>
      <w:tr>
        <w:trPr>
          <w:trHeight w:val="209"/>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$7.7 million for the year ended December 31, 2025, compared to net cash used in operating activities of $44.8 million for the year ended December 31, 2024. The cash provided by operating activities for the year ended December 31, 2025, was driven by income of $16.3 million and adjustments for net non-cash income related to depreciation and amortization, stock-based compensation and non-cash interest expense related to sale of future royalties, net of non-cash revenue related to the gain on modification of lease liability, sale of future royalties and amortization of discount on investments, net totaling $14.0 million, partially offset by a decrease in working capital of $22.6 million. The cash used in operating activities for the year ended December 31, 2024, was due to cash used to fund a net loss of $66.9 million and an increase in working capital of $3.3 million, partially offset by adjustments for net non-cash income related to depreciation and amortization, stock-based compensation and non-cash interest expense related to sale of future royalties, net of non-cash revenue related to sale of future royalties and amortization of discount on investments, net totaling $18.9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the year ended December 31, 2025, we received $16.8 million from maturities of investments, net of purchases, and used $0.1 million of cash to purchase property and equipment, net of proceeds. In 2024, we used $20.8 million of cash to purchase investments, net of maturities, and used $0.6 million of cash to purchase property and equipment.</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2025, we received net financing proceeds of $4.2 million from the sale of our common stock under the Dynavax Purchase Agreement, net proceeds of $53,000 from the sale of our common stock under the March 2025 ATM, and $0.2 million from the issuance of treasury stock under the employee stock purchase plan, partially offset by $0.2 million from treasury stock acquired to settle employee tax withholding liabilities. In 2024, we received net proceeds of $37.5 million from the sale of our common stock under the June 2024 Offering, net proceeds of $8.8 million from the sale of our common stock under the September 2021 ATM, net proceeds of $9.9 million from the sale of our common stock under the 2024 Securities Purchase Agreement and $0.5 million from the issuance of common stock and treasury stock under the employee stock purchase plan, partially offset by $0.2 million from common stock acquired to settle employee tax withholding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contractual obligations and commercial commitments as of December 31, 2025 (in thousands):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Contractual Obligation</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&lt; 1 Year</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1 - 3 Years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3 - 5 Years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&gt; 5 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HCRP</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48,527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26,151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 Term Debt, HCRP. </w:t>
      </w:r>
      <w:r>
        <w:rPr>
          <w:rFonts w:ascii="Times New Roman" w:cs="Times New Roman" w:eastAsia="Times New Roman" w:hAnsi="Times New Roman"/>
          <w:sz w:val="18"/>
          <w:szCs w:val="18"/>
          <w:color w:val="auto"/>
        </w:rPr>
        <w:t>Under an agreement executed in 2016, during the first royalty interest period of April 1, 2016 through March 31, 2025, we</w:t>
      </w:r>
    </w:p>
    <w:p>
      <w:pPr>
        <w:spacing w:after="0" w:line="2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 xml:space="preserve">were obligated to pay HCRP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See </w:t>
      </w:r>
      <w:r>
        <w:rPr>
          <w:rFonts w:ascii="Times New Roman" w:cs="Times New Roman" w:eastAsia="Times New Roman" w:hAnsi="Times New Roman"/>
          <w:sz w:val="17"/>
          <w:szCs w:val="17"/>
          <w:u w:val="single" w:color="auto"/>
          <w:color w:val="0000EE"/>
        </w:rPr>
        <w:t>Note 6</w:t>
      </w:r>
      <w:r>
        <w:rPr>
          <w:rFonts w:ascii="Times New Roman" w:cs="Times New Roman" w:eastAsia="Times New Roman" w:hAnsi="Times New Roman"/>
          <w:sz w:val="17"/>
          <w:szCs w:val="17"/>
          <w:color w:val="auto"/>
        </w:rPr>
        <w:t xml:space="preserve"> to the Consolidated Financial Statements in Part II, Item 8 for further details.</w:t>
      </w:r>
    </w:p>
    <w:p>
      <w:pPr>
        <w:spacing w:after="0" w:line="17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Operating lease amounts include future minimum lease payments under all our non-cancellable operating leases with an initial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excess of one year. See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 xml:space="preserve"> to the Consolidated Financial Statements in Part II, Item 8 for further details.</w:t>
      </w:r>
    </w:p>
    <w:p>
      <w:pPr>
        <w:spacing w:after="0" w:line="15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These amounts include an estimate of all open purchase orders and contractual obligations in the ordinary course of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commitments with contract manufacturers and suppliers for which we have not received the goods or services. We consider all open purchase orders, which are generally enforceable and legally binding, to be commitments, although the terms may afford us the option to cancel based on our business needs prior to the delivery of goods or performance of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judgments that affect the reported amounts of assets, liabilities, revenues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record accrued expenses for estimated costs of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and include the costs incurred but not yet invoiced within other accrued liabilities in the consolidated balance sheets and within research and development expense in the consolidated statements of operations and comprehensive income (loss). These costs can be a significant component of our research and development expenses.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Intangible assets comprise developed technology and intellectual property. Intangible assets are carried at cost less accumulated amortization. Amortization is computed using the straight-line method over useful life of 11.75 years for developed technology and 20 years for intellectual property. The fair value as of December 31, 2025, is being amortized on a straight-line basis over the remaining period of 3.9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Government Contracts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firm fixed-price milestone contracts, we recognize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 Under cost reimbursable contracts, we recognize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Payments to us under cost reimbursable contracts are provisional payments subject to adjustment upon annual audit by the government. Management believes that revenue for 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the 2025 License and Collaboration Agreement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enters into license and collaboration agreements that may include the grant of licenses to intellectual property, research and development services, participation on joint governance committees, and manufacturing technology transfer. The terms of such arrangements may include non-refundable upfront payments, development and regulatory milestone payments, sales-based milestone payments, royalties on future product sales, and other contingent payments.</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accounts for its license and collaboration agreements in accordance with ASC 606, Revenue from Contracts with Customers. Under ASC 606, the Company identifies the performance obligations in the contract, determines the transaction price, allocates the transaction price to the identified performance obligations based on their relative standalone selling prices, and recognizes revenue when, or as, the performance obligations are satisfied.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Performance obligations under these arrangements may include licenses to intellectual property and research and development services. The Company evaluates whether licenses are distinct from other promised services and whether they represent functional intellectual property that provides a right to use intellectual property as it exists at a point in time or symbolic intellectual property that provides a right to access intellectual property over time. Licenses determined to be functional intellectual property are recognized at a point in time when control transfers to the customer. Research and development services are generally recognized over time as the services are performed.</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transaction price may include fixed consideration, such as upfront payments, and variable consideration, such as milestone payments and royalties. Variable consideration is included in the transaction price only to the extent that it is probable that a significant reversal of cumulative revenue recognized will not occur when the uncertainty associated with the variable consideration is resolved. Milestone payments that are not subject to the sales-based royalty exception are evaluated under the variable consideration constraint and recognized when the associated uncertainty is resolved. Sales-based milestone payments and royalties are recognized as revenue when the underlying sales occur.</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performance obligations satisfied over time, the Company measures progress using an input method based on costs incurred relative to total estimated costs to complete the performance obligation. Estimates of total costs are reassessed at each reporting period, and adjustments to revenue are recorded as a cumulative catch-up if estimates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measure the fair value of all stock option awards to employees, non-executive directors and consultants on the grant date, and record the fair value of these awards, net of estimated forfeitures, as compensation expense over the service period. The fair value of options is estimated using the Black-Scholes valuation model and the expense recorded is affected by subjective assumptions regarding a number of variables, as follows:</w:t>
      </w:r>
    </w:p>
    <w:p>
      <w:pPr>
        <w:spacing w:after="0" w:line="176"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 This represents the period that our stock-based awards granted are expected to be outstanding and is determined using the simplified method (the arithmetic average of its original contractual term and its average vesting term). We have very limited historical information to develop reasonable expectations about future exercise patterns and post-vesting employment termination behavior for our stock-based awards. Based on the weighted average applied to options awarded in 2025, a notional 10% decrease in expected term would have reduced the fair value and the related compensation expense by approximately 2.2%.</w:t>
      </w:r>
    </w:p>
    <w:p>
      <w:pPr>
        <w:sectPr>
          <w:pgSz w:w="11900" w:h="16838" w:orient="portrait"/>
          <w:cols w:equalWidth="0" w:num="1">
            <w:col w:w="11220"/>
          </w:cols>
          <w:pgMar w:left="320" w:top="121" w:right="359" w:bottom="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xml:space="preserve"> – This is a measure of the amount by which our common stock price has fluctuated or is expected to fluctuate. Since the beginning of 2020 we have measured volatility based on the historical volatility of our own stock over the retrospective period corresponding to the expected term of the options on the measurement date. Based on the weighted average applied to options awarded in 2025, a notional 10% decrease in expected volatility (from 126.5% to 113.8%) would have reduced the fair value and the related compensation expense by approximately 4.2%.</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 This is based on the U.S. Treasury yield curve on the measurement date corresponding with the expected term of the stock-based awards.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dividend</w:t>
      </w:r>
      <w:r>
        <w:rPr>
          <w:rFonts w:ascii="Times New Roman" w:cs="Times New Roman" w:eastAsia="Times New Roman" w:hAnsi="Times New Roman"/>
          <w:sz w:val="18"/>
          <w:szCs w:val="18"/>
          <w:color w:val="auto"/>
        </w:rPr>
        <w:t xml:space="preserve"> – We have not made any dividend payments and do not plan to pay dividends in the foreseeable future. Therefore, we use an expected dividend yield of zero.</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Forfeiture rate</w:t>
      </w:r>
      <w:r>
        <w:rPr>
          <w:rFonts w:ascii="Times New Roman" w:cs="Times New Roman" w:eastAsia="Times New Roman" w:hAnsi="Times New Roman"/>
          <w:sz w:val="18"/>
          <w:szCs w:val="18"/>
          <w:color w:val="auto"/>
        </w:rPr>
        <w:t xml:space="preserve"> – This is a measure of the number of awards that are expected to not vest and is reassessed quarterly. An increase in the estimated forfeiture rate will cause a small decrease to the related compensation expense early in the service period, but since the final expense recorded for each award is the number of options vested times their grant date fair value, it has no impact on the total expense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See the “Recent Accounting Pronouncements” in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to the Consolidated Financial Statements in Part II, Item 8 for information related to the issuance of new accounting standards in 2024, which are either not applicable to its operations or their adoption is not expected to have a material impact on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investments in marketable debt securities. The primary objective of our investment activities is to preserve principal, maintain liquidity that is sufficient to meet cash needs and maximize total return without significantly increasing risk. To achieve this goal, we maintain our excess cash and cash equivalents in money market funds and marketable debt securities. We do not enter into investments for trading or speculative purposes and we hold no equity securities. We presently have no borrowings or lines of credit.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Specifically, as of December 31, 2025, we had cash, cash equivalents and short-term investments of approximately $63.8 million, which consist of primarily bank deposits, money market funds and U.S. government securities. All of our investments must satisfy high credit rating requirements at the time of purchase. Such interest-earning instruments carry a degree of interest rate risk, however, because our investments are rated highly and mostly short-term, we believe that our exposure to risk of loss due to interest rate changes is not 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Sensitivity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royalty revenue, which is calculated in U.S. dollars, is based on sales in Japanese yen, so a 1% increase in the strength of the U.S. dollar against the yen would lead to a 1% reduction in royalty revenue and related accounts receivable. All our other revenue and substantially all of our expenses, assets and liabilities are denominated in U.S. dollars and, as a result, we have not experienced significant foreign exchange gains or losses recently and do not anticipate that foreign exchange gains or losses will be significant in the near future.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95"/>
        </w:trPr>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4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60" w:type="dxa"/>
            <w:vAlign w:val="bottom"/>
          </w:tcPr>
          <w:p>
            <w:pPr>
              <w:spacing w:after="0"/>
              <w:rPr>
                <w:sz w:val="24"/>
                <w:szCs w:val="24"/>
                <w:color w:val="auto"/>
              </w:rPr>
            </w:pPr>
          </w:p>
        </w:tc>
        <w:tc>
          <w:tcPr>
            <w:tcW w:w="3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1140" w:type="dxa"/>
            <w:vAlign w:val="bottom"/>
          </w:tcPr>
          <w:p>
            <w:pPr>
              <w:spacing w:after="0"/>
              <w:rPr>
                <w:sz w:val="24"/>
                <w:szCs w:val="24"/>
                <w:color w:val="auto"/>
              </w:rPr>
            </w:pPr>
          </w:p>
        </w:tc>
      </w:tr>
      <w:tr>
        <w:trPr>
          <w:trHeight w:val="385"/>
        </w:trPr>
        <w:tc>
          <w:tcPr>
            <w:tcW w:w="1140" w:type="dxa"/>
            <w:vAlign w:val="bottom"/>
          </w:tcPr>
          <w:p>
            <w:pPr>
              <w:spacing w:after="0"/>
              <w:rPr>
                <w:sz w:val="24"/>
                <w:szCs w:val="24"/>
                <w:color w:val="auto"/>
              </w:rPr>
            </w:pPr>
          </w:p>
        </w:tc>
        <w:tc>
          <w:tcPr>
            <w:tcW w:w="62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Report of WithumSmith+Brown, PC - Independent Registered Public Accounting Firm</w:t>
            </w:r>
          </w:p>
        </w:tc>
        <w:tc>
          <w:tcPr>
            <w:tcW w:w="2140" w:type="dxa"/>
            <w:vAlign w:val="bottom"/>
          </w:tcPr>
          <w:p>
            <w:pPr>
              <w:spacing w:after="0"/>
              <w:rPr>
                <w:sz w:val="24"/>
                <w:szCs w:val="24"/>
                <w:color w:val="auto"/>
              </w:rPr>
            </w:pPr>
          </w:p>
        </w:tc>
        <w:tc>
          <w:tcPr>
            <w:tcW w:w="260" w:type="dxa"/>
            <w:vAlign w:val="bottom"/>
            <w:gridSpan w:val="3"/>
          </w:tcPr>
          <w:p>
            <w:pPr>
              <w:spacing w:after="0"/>
              <w:rPr>
                <w:sz w:val="24"/>
                <w:szCs w:val="24"/>
                <w:color w:val="auto"/>
              </w:rPr>
            </w:pPr>
          </w:p>
        </w:tc>
        <w:tc>
          <w:tcPr>
            <w:tcW w:w="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99"/>
              </w:rPr>
              <w:t>96</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Consolidated Balance Sheets</w:t>
            </w:r>
          </w:p>
        </w:tc>
        <w:tc>
          <w:tcPr>
            <w:tcW w:w="4200" w:type="dxa"/>
            <w:vAlign w:val="bottom"/>
            <w:gridSpan w:val="5"/>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gridSpan w:val="3"/>
          </w:tcPr>
          <w:p>
            <w:pPr>
              <w:spacing w:after="0"/>
              <w:rPr>
                <w:sz w:val="24"/>
                <w:szCs w:val="24"/>
                <w:color w:val="auto"/>
              </w:rPr>
            </w:pPr>
          </w:p>
        </w:tc>
        <w:tc>
          <w:tcPr>
            <w:tcW w:w="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99"/>
              </w:rPr>
              <w:t>99</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Income (Loss</w:t>
            </w:r>
            <w:r>
              <w:rPr>
                <w:rFonts w:ascii="Times New Roman" w:cs="Times New Roman" w:eastAsia="Times New Roman" w:hAnsi="Times New Roman"/>
                <w:sz w:val="18"/>
                <w:szCs w:val="18"/>
                <w:color w:val="000000"/>
              </w:rPr>
              <w:t>)</w:t>
            </w:r>
          </w:p>
        </w:tc>
        <w:tc>
          <w:tcPr>
            <w:tcW w:w="540" w:type="dxa"/>
            <w:vAlign w:val="bottom"/>
            <w:gridSpan w:val="6"/>
          </w:tcPr>
          <w:p>
            <w:pPr>
              <w:jc w:val="center"/>
              <w:ind w:left="90"/>
              <w:spacing w:after="0"/>
              <w:rPr>
                <w:sz w:val="20"/>
                <w:szCs w:val="20"/>
                <w:color w:val="auto"/>
              </w:rPr>
            </w:pPr>
            <w:r>
              <w:rPr>
                <w:rFonts w:ascii="Times New Roman" w:cs="Times New Roman" w:eastAsia="Times New Roman" w:hAnsi="Times New Roman"/>
                <w:sz w:val="18"/>
                <w:szCs w:val="18"/>
                <w:color w:val="0000EE"/>
              </w:rPr>
              <w:t>100</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5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1780" w:type="dxa"/>
            <w:vAlign w:val="bottom"/>
            <w:tcBorders>
              <w:top w:val="single" w:sz="8" w:color="0000EE"/>
            </w:tcBorders>
          </w:tcPr>
          <w:p>
            <w:pPr>
              <w:spacing w:after="0"/>
              <w:rPr>
                <w:sz w:val="24"/>
                <w:szCs w:val="24"/>
                <w:color w:val="auto"/>
              </w:rPr>
            </w:pPr>
          </w:p>
        </w:tc>
        <w:tc>
          <w:tcPr>
            <w:tcW w:w="310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280" w:type="dxa"/>
            <w:vAlign w:val="bottom"/>
            <w:tcBorders>
              <w:top w:val="single" w:sz="8" w:color="0000EE"/>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rPr>
              <w:t>101</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28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5560" w:type="dxa"/>
            <w:vAlign w:val="bottom"/>
            <w:gridSpan w:val="5"/>
          </w:tcPr>
          <w:p>
            <w:pPr>
              <w:spacing w:after="0"/>
              <w:rPr>
                <w:sz w:val="24"/>
                <w:szCs w:val="24"/>
                <w:color w:val="auto"/>
              </w:rPr>
            </w:pPr>
          </w:p>
        </w:tc>
        <w:tc>
          <w:tcPr>
            <w:tcW w:w="220" w:type="dxa"/>
            <w:vAlign w:val="bottom"/>
            <w:gridSpan w:val="2"/>
          </w:tcPr>
          <w:p>
            <w:pPr>
              <w:spacing w:after="0"/>
              <w:rPr>
                <w:sz w:val="24"/>
                <w:szCs w:val="24"/>
                <w:color w:val="auto"/>
              </w:rPr>
            </w:pPr>
          </w:p>
        </w:tc>
        <w:tc>
          <w:tcPr>
            <w:tcW w:w="28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rPr>
              <w:t>102</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540" w:type="dxa"/>
            <w:vAlign w:val="bottom"/>
            <w:gridSpan w:val="6"/>
          </w:tcPr>
          <w:p>
            <w:pPr>
              <w:jc w:val="center"/>
              <w:ind w:left="90"/>
              <w:spacing w:after="0"/>
              <w:rPr>
                <w:sz w:val="20"/>
                <w:szCs w:val="20"/>
                <w:color w:val="auto"/>
              </w:rPr>
            </w:pPr>
            <w:r>
              <w:rPr>
                <w:rFonts w:ascii="Times New Roman" w:cs="Times New Roman" w:eastAsia="Times New Roman" w:hAnsi="Times New Roman"/>
                <w:sz w:val="18"/>
                <w:szCs w:val="18"/>
                <w:color w:val="0000EE"/>
              </w:rPr>
              <w:t>104</w:t>
            </w:r>
          </w:p>
        </w:tc>
        <w:tc>
          <w:tcPr>
            <w:tcW w:w="1140" w:type="dxa"/>
            <w:vAlign w:val="bottom"/>
          </w:tcPr>
          <w:p>
            <w:pPr>
              <w:spacing w:after="0"/>
              <w:rPr>
                <w:sz w:val="24"/>
                <w:szCs w:val="24"/>
                <w:color w:val="auto"/>
              </w:rPr>
            </w:pPr>
          </w:p>
        </w:tc>
      </w:tr>
      <w:tr>
        <w:trPr>
          <w:trHeight w:val="453"/>
        </w:trPr>
        <w:tc>
          <w:tcPr>
            <w:tcW w:w="1140" w:type="dxa"/>
            <w:vAlign w:val="bottom"/>
          </w:tcPr>
          <w:p>
            <w:pPr>
              <w:spacing w:after="0"/>
              <w:rPr>
                <w:sz w:val="24"/>
                <w:szCs w:val="24"/>
                <w:color w:val="auto"/>
              </w:rPr>
            </w:pPr>
          </w:p>
        </w:tc>
        <w:tc>
          <w:tcPr>
            <w:tcW w:w="3400" w:type="dxa"/>
            <w:vAlign w:val="bottom"/>
            <w:tcBorders>
              <w:top w:val="single" w:sz="8" w:color="0000EE"/>
            </w:tcBorders>
            <w:gridSpan w:val="4"/>
          </w:tcPr>
          <w:p>
            <w:pPr>
              <w:spacing w:after="0"/>
              <w:rPr>
                <w:sz w:val="24"/>
                <w:szCs w:val="24"/>
                <w:color w:val="auto"/>
              </w:rPr>
            </w:pPr>
          </w:p>
        </w:tc>
        <w:tc>
          <w:tcPr>
            <w:tcW w:w="1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95</w:t>
            </w:r>
          </w:p>
        </w:tc>
        <w:tc>
          <w:tcPr>
            <w:tcW w:w="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Inc.:</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Vaxart, Inc. and Subsidiaries (collectively, the “Company”) as of December 31, 2025 and 2024, the related consolidated statements of operations and comprehensive income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160" w:right="10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60" w:right="10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Accruals Related to Clinical Expenses - Refer to Note 2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160"/>
        <w:spacing w:after="0" w:line="289" w:lineRule="auto"/>
        <w:rPr>
          <w:sz w:val="20"/>
          <w:szCs w:val="20"/>
          <w:color w:val="auto"/>
        </w:rPr>
      </w:pPr>
      <w:r>
        <w:rPr>
          <w:rFonts w:ascii="Times New Roman" w:cs="Times New Roman" w:eastAsia="Times New Roman" w:hAnsi="Times New Roman"/>
          <w:sz w:val="17"/>
          <w:szCs w:val="17"/>
          <w:color w:val="auto"/>
        </w:rPr>
        <w:t>The Company recognizes costs it incurs for clinical trials as research and development expenses based on its evaluation of its third-party service providers’ progress toward completion of specific tasks. Payment timing may differ significantly from the period in which the costs are recognized as expense. Costs for services incurred that have not yet been paid are recognized as accrued expenses. Advance payments are recorded as prepaid expenses.</w:t>
      </w:r>
    </w:p>
    <w:p>
      <w:pPr>
        <w:spacing w:after="0" w:line="158"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In estimating the vendors’ progress toward completion of specific tasks, the Company uses data such as patient enrollment, clinical site activations or vendor information of actual costs incurred. This data is obtained through reports from and discussions with Company personnel and third-party service providers as to the progress or state of completion of trials, or the completion of services.</w:t>
      </w:r>
    </w:p>
    <w:p>
      <w:pPr>
        <w:spacing w:after="0" w:line="176"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Given the number of ongoing clinical trial activities and the subjectivity involved in estimating clinical expenses, auditing the prepayments and accruals related to clinical expenses involved especially subjective judgment, thereby causing us to determine that the matter is a critical audit matter.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audit procedures related to prepayments and accruals of clinical trials included the following, among others:</w:t>
      </w:r>
    </w:p>
    <w:p>
      <w:pPr>
        <w:spacing w:after="0" w:line="225" w:lineRule="exact"/>
        <w:rPr>
          <w:sz w:val="20"/>
          <w:szCs w:val="20"/>
          <w:color w:val="auto"/>
        </w:rPr>
      </w:pPr>
    </w:p>
    <w:p>
      <w:pPr>
        <w:ind w:left="1380" w:right="300" w:hanging="333"/>
        <w:spacing w:after="0" w:line="282"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design and implementation of internal controls over the estimation of prepayments and accruals related to clinical trials.</w:t>
      </w:r>
    </w:p>
    <w:p>
      <w:pPr>
        <w:spacing w:after="0" w:line="161"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a sample of research and collaboration agreements and contracts, as well as amendments thereto.</w:t>
      </w:r>
    </w:p>
    <w:p>
      <w:pPr>
        <w:spacing w:after="0" w:line="225" w:lineRule="exact"/>
        <w:rPr>
          <w:rFonts w:ascii="Times New Roman" w:cs="Times New Roman" w:eastAsia="Times New Roman" w:hAnsi="Times New Roman"/>
          <w:sz w:val="18"/>
          <w:szCs w:val="18"/>
          <w:color w:val="auto"/>
        </w:rPr>
      </w:pPr>
    </w:p>
    <w:p>
      <w:pPr>
        <w:ind w:left="1380" w:right="640" w:hanging="333"/>
        <w:spacing w:after="0" w:line="282"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publicly available information (such as press releases and investor presentations) and board of directors’ materials regarding the status of clinical trial activities.</w:t>
      </w:r>
    </w:p>
    <w:p>
      <w:pPr>
        <w:spacing w:after="0" w:line="161" w:lineRule="exact"/>
        <w:rPr>
          <w:rFonts w:ascii="Times New Roman" w:cs="Times New Roman" w:eastAsia="Times New Roman" w:hAnsi="Times New Roman"/>
          <w:sz w:val="18"/>
          <w:szCs w:val="18"/>
          <w:color w:val="auto"/>
        </w:rPr>
      </w:pPr>
    </w:p>
    <w:p>
      <w:pPr>
        <w:ind w:left="1380" w:right="160" w:hanging="333"/>
        <w:spacing w:after="0" w:line="282"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agreements and contracts, we compared the amount of accrual or prepayment at the end of the prior period to current year activity and evaluated the accuracy of the Company’s estimation methodology.</w:t>
      </w:r>
    </w:p>
    <w:p>
      <w:pPr>
        <w:spacing w:after="0" w:line="161"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 written confirmation of the status of clinical trials from the Company’s third-party service providers.</w:t>
      </w:r>
    </w:p>
    <w:p>
      <w:pPr>
        <w:spacing w:after="0" w:line="225"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search for unrecorded clinical trial accruals by testing subsequent cash disbursements.</w:t>
      </w:r>
    </w:p>
    <w:p>
      <w:pPr>
        <w:spacing w:after="0" w:line="225" w:lineRule="exact"/>
        <w:rPr>
          <w:rFonts w:ascii="Times New Roman" w:cs="Times New Roman" w:eastAsia="Times New Roman" w:hAnsi="Times New Roman"/>
          <w:sz w:val="18"/>
          <w:szCs w:val="18"/>
          <w:color w:val="auto"/>
        </w:rPr>
      </w:pPr>
    </w:p>
    <w:p>
      <w:pPr>
        <w:ind w:left="1380" w:right="440" w:hanging="333"/>
        <w:spacing w:after="0" w:line="282"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selections of specific amounts recognized as research and development expense as well as those recognized as prepaid or accrued expenses to evaluate management’s estimate of the vendor’s progress and performed the following procedures:</w:t>
      </w:r>
    </w:p>
    <w:p>
      <w:pPr>
        <w:spacing w:after="0" w:line="161" w:lineRule="exact"/>
        <w:rPr>
          <w:rFonts w:ascii="Times New Roman" w:cs="Times New Roman" w:eastAsia="Times New Roman" w:hAnsi="Times New Roman"/>
          <w:sz w:val="18"/>
          <w:szCs w:val="18"/>
          <w:color w:val="auto"/>
        </w:rPr>
      </w:pPr>
    </w:p>
    <w:p>
      <w:pPr>
        <w:ind w:left="1700" w:hanging="329"/>
        <w:spacing w:after="0"/>
        <w:tabs>
          <w:tab w:leader="none" w:pos="17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corroborating inquiries with Company clinical operations personnel.</w:t>
      </w:r>
    </w:p>
    <w:p>
      <w:pPr>
        <w:spacing w:after="0" w:line="225" w:lineRule="exact"/>
        <w:rPr>
          <w:rFonts w:ascii="Times New Roman" w:cs="Times New Roman" w:eastAsia="Times New Roman" w:hAnsi="Times New Roman"/>
          <w:sz w:val="18"/>
          <w:szCs w:val="18"/>
          <w:color w:val="auto"/>
        </w:rPr>
      </w:pPr>
    </w:p>
    <w:p>
      <w:pPr>
        <w:ind w:left="1700" w:right="520" w:hanging="329"/>
        <w:spacing w:after="0" w:line="282" w:lineRule="auto"/>
        <w:tabs>
          <w:tab w:leader="none" w:pos="17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 the related statement of work, purchase order, or other supporting documentation (such as communications between the Company and third-party service providers).</w:t>
      </w:r>
    </w:p>
    <w:p>
      <w:pPr>
        <w:spacing w:after="0" w:line="161" w:lineRule="exact"/>
        <w:rPr>
          <w:rFonts w:ascii="Times New Roman" w:cs="Times New Roman" w:eastAsia="Times New Roman" w:hAnsi="Times New Roman"/>
          <w:sz w:val="18"/>
          <w:szCs w:val="18"/>
          <w:color w:val="auto"/>
        </w:rPr>
      </w:pPr>
    </w:p>
    <w:p>
      <w:pPr>
        <w:ind w:left="1700" w:hanging="329"/>
        <w:spacing w:after="0"/>
        <w:tabs>
          <w:tab w:leader="none" w:pos="17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judgments by comparing such judgments to the evidence obtained.</w:t>
      </w:r>
    </w:p>
    <w:p>
      <w:pPr>
        <w:spacing w:after="0" w:line="225" w:lineRule="exact"/>
        <w:rPr>
          <w:rFonts w:ascii="Times New Roman" w:cs="Times New Roman" w:eastAsia="Times New Roman" w:hAnsi="Times New Roman"/>
          <w:sz w:val="18"/>
          <w:szCs w:val="18"/>
          <w:color w:val="auto"/>
        </w:rPr>
      </w:pPr>
    </w:p>
    <w:p>
      <w:pPr>
        <w:ind w:left="1700" w:right="100" w:hanging="329"/>
        <w:spacing w:after="0" w:line="282" w:lineRule="auto"/>
        <w:tabs>
          <w:tab w:leader="none" w:pos="17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the listing of all contracts related to research and development expenses to evaluate the completeness of prepayments and accruals.</w:t>
      </w:r>
    </w:p>
    <w:p>
      <w:pPr>
        <w:spacing w:after="0" w:line="161" w:lineRule="exact"/>
        <w:rPr>
          <w:rFonts w:ascii="Times New Roman" w:cs="Times New Roman" w:eastAsia="Times New Roman" w:hAnsi="Times New Roman"/>
          <w:sz w:val="18"/>
          <w:szCs w:val="18"/>
          <w:color w:val="auto"/>
        </w:rPr>
      </w:pPr>
    </w:p>
    <w:p>
      <w:pPr>
        <w:ind w:left="1700" w:right="760" w:hanging="329"/>
        <w:spacing w:after="0" w:line="282" w:lineRule="auto"/>
        <w:tabs>
          <w:tab w:leader="none" w:pos="17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 of prepayments and accruals related to clinical trials in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Dynavax License and Collaboration Agreement - Refer to Note 5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The 2025 License and Collaboration Agreement with Dynavax contains two performance obligations, which are accounted for separately as they are distinct. The transaction price at inception is then allocated to the distinct performance obligations based on the relative standalone selling price, and revenue is recognized when the distinct performance obligation is satisfied. Revenue allocated to the license performance obligation is recognized at a point in time upon completion of the technology transfer, when Dynavax obtained the right to use and benefit from the licensed intellectual property. Revenue allocated to the development performance obligation is recognized over time using an input method based on costs incurred relative to total estimated costs to complete the development program. For the year ended December 31, 2025, the Company recognized revenue of $10.8 million from the 2025 License and Collaboration Agreement. As of December 31, 2025, the amount of deferred collaboration revenue was $15.0 million, of which $13.0 million was classified as current and $2.0 million as non-current. The remaining deferred collaboration revenue will be recognized as revenue once the earnings process is complete.</w:t>
      </w:r>
    </w:p>
    <w:p>
      <w:pPr>
        <w:spacing w:after="0" w:line="188"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Auditing the Company’s revenue from the 2025 License and Collaboration Agreement was especially complex and required significant judgments, specifically related to the identification of performance obligations, the determination of standalone selling price the performance obligations, the evaluation of estimates of costs to complete the development program under the input method for revenue recognized over time, and the timing of revenue recognition.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audit procedures related to revenue from the 2025 License and Collaboration Agreement included the following, among others:</w:t>
      </w:r>
    </w:p>
    <w:p>
      <w:pPr>
        <w:spacing w:after="0" w:line="225" w:lineRule="exact"/>
        <w:rPr>
          <w:sz w:val="20"/>
          <w:szCs w:val="20"/>
          <w:color w:val="auto"/>
        </w:rPr>
      </w:pPr>
    </w:p>
    <w:p>
      <w:pPr>
        <w:ind w:left="1380" w:right="580" w:hanging="333"/>
        <w:spacing w:after="0" w:line="282"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design and implementation of internal controls over revenue from the Dynavax License and Collaboration Agreement.</w:t>
      </w:r>
    </w:p>
    <w:p>
      <w:pPr>
        <w:spacing w:after="0" w:line="161"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management’s analysis for accuracy and completeness by agreeing data to the underlying agreement.</w:t>
      </w:r>
    </w:p>
    <w:p>
      <w:pPr>
        <w:spacing w:after="0" w:line="225" w:lineRule="exact"/>
        <w:rPr>
          <w:rFonts w:ascii="Times New Roman" w:cs="Times New Roman" w:eastAsia="Times New Roman" w:hAnsi="Times New Roman"/>
          <w:sz w:val="18"/>
          <w:szCs w:val="18"/>
          <w:color w:val="auto"/>
        </w:rPr>
      </w:pPr>
    </w:p>
    <w:p>
      <w:pPr>
        <w:ind w:left="1380" w:right="140" w:hanging="333"/>
        <w:spacing w:after="0" w:line="266"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Company’s accounting conclusions, specifically related to the identification and determination of distinct performance obligations, determination of standalone selling price for each performance obligation, allocation of the transaction price to the identified performance obligations, and the timing of revenue recognition.</w:t>
      </w:r>
    </w:p>
    <w:p>
      <w:pPr>
        <w:spacing w:after="0" w:line="175" w:lineRule="exact"/>
        <w:rPr>
          <w:rFonts w:ascii="Times New Roman" w:cs="Times New Roman" w:eastAsia="Times New Roman" w:hAnsi="Times New Roman"/>
          <w:sz w:val="18"/>
          <w:szCs w:val="18"/>
          <w:color w:val="auto"/>
        </w:rPr>
      </w:pPr>
    </w:p>
    <w:p>
      <w:pPr>
        <w:ind w:left="1380" w:right="480" w:hanging="333"/>
        <w:spacing w:after="0" w:line="282"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assumptions used to estimate costs to complete the development program, which included performing sensitivity analysis on the standalone selling price.</w:t>
      </w:r>
    </w:p>
    <w:p>
      <w:pPr>
        <w:spacing w:after="0" w:line="161" w:lineRule="exact"/>
        <w:rPr>
          <w:rFonts w:ascii="Times New Roman" w:cs="Times New Roman" w:eastAsia="Times New Roman" w:hAnsi="Times New Roman"/>
          <w:sz w:val="18"/>
          <w:szCs w:val="18"/>
          <w:color w:val="auto"/>
        </w:rPr>
      </w:pPr>
    </w:p>
    <w:p>
      <w:pPr>
        <w:ind w:left="1380" w:right="80" w:hanging="333"/>
        <w:spacing w:after="0" w:line="282"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application of the input method for the recognition of revenue, which included performing analytical procedures on actual costs incurred.</w:t>
      </w:r>
    </w:p>
    <w:p>
      <w:pPr>
        <w:spacing w:after="0" w:line="161"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on a test basis, supporting documentation for costs incurred which are used to measure progress toward completion and to</w:t>
      </w:r>
    </w:p>
    <w:p>
      <w:pPr>
        <w:sectPr>
          <w:pgSz w:w="11900" w:h="16838" w:orient="portrait"/>
          <w:cols w:equalWidth="0" w:num="1">
            <w:col w:w="11240"/>
          </w:cols>
          <w:pgMar w:left="320" w:top="121" w:right="339" w:bottom="0" w:gutter="0" w:footer="0" w:header="0"/>
        </w:sectPr>
      </w:pPr>
    </w:p>
    <w:bookmarkStart w:id="102" w:name="page103"/>
    <w:bookmarkEnd w:id="102"/>
    <w:p>
      <w:pPr>
        <w:ind w:left="1380"/>
        <w:spacing w:after="0"/>
        <w:rPr>
          <w:sz w:val="20"/>
          <w:szCs w:val="20"/>
          <w:color w:val="auto"/>
        </w:rPr>
      </w:pPr>
      <w:r>
        <w:rPr>
          <w:rFonts w:ascii="Times New Roman" w:cs="Times New Roman" w:eastAsia="Times New Roman" w:hAnsi="Times New Roman"/>
          <w:sz w:val="18"/>
          <w:szCs w:val="18"/>
          <w:color w:val="auto"/>
        </w:rPr>
        <w:t>calculate revenue recognition.</w:t>
      </w:r>
    </w:p>
    <w:p>
      <w:pPr>
        <w:spacing w:after="0" w:line="225" w:lineRule="exact"/>
        <w:rPr>
          <w:sz w:val="20"/>
          <w:szCs w:val="20"/>
          <w:color w:val="auto"/>
        </w:rPr>
      </w:pPr>
    </w:p>
    <w:p>
      <w:pPr>
        <w:ind w:left="1380" w:hanging="333"/>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recalculated the corresponding revenue recognized based on the cost-based input method to measure progress toward completion of the performance obligation.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5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79"/>
        </w:trPr>
        <w:tc>
          <w:tcPr>
            <w:tcW w:w="27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384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203"/>
        </w:trPr>
        <w:tc>
          <w:tcPr>
            <w:tcW w:w="80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53,814</w:t>
            </w:r>
          </w:p>
        </w:tc>
        <w:tc>
          <w:tcPr>
            <w:tcW w:w="5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25,229</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9,993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26,494</w:t>
            </w: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14,564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5,761</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Unbilled receivable from government contracts</w:t>
            </w:r>
          </w:p>
        </w:tc>
        <w:tc>
          <w:tcPr>
            <w:tcW w:w="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36,781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6,208</w:t>
            </w:r>
          </w:p>
        </w:tc>
      </w:tr>
      <w:tr>
        <w:trPr>
          <w:trHeight w:val="203"/>
        </w:trPr>
        <w:tc>
          <w:tcPr>
            <w:tcW w:w="80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20,971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4,568</w:t>
            </w:r>
          </w:p>
        </w:tc>
      </w:tr>
      <w:tr>
        <w:trPr>
          <w:trHeight w:val="196"/>
        </w:trPr>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136,123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68,260</w:t>
            </w:r>
          </w:p>
        </w:tc>
      </w:tr>
      <w:tr>
        <w:trPr>
          <w:trHeight w:val="203"/>
        </w:trPr>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8,705</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Prepaid clinical services, long-term</w:t>
            </w:r>
          </w:p>
        </w:tc>
        <w:tc>
          <w:tcPr>
            <w:tcW w:w="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25,218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60,116</w:t>
            </w: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net</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11,432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20,404</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3,557</w:t>
            </w: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4,508</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839</w:t>
            </w:r>
          </w:p>
        </w:tc>
      </w:tr>
      <w:tr>
        <w:trPr>
          <w:trHeight w:val="196"/>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186,079</w:t>
            </w: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166,389</w:t>
            </w:r>
          </w:p>
        </w:tc>
      </w:tr>
      <w:tr>
        <w:trPr>
          <w:trHeight w:val="20"/>
        </w:trPr>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2"/>
        </w:trPr>
        <w:tc>
          <w:tcPr>
            <w:tcW w:w="8000" w:type="dxa"/>
            <w:vAlign w:val="bottom"/>
            <w:gridSpan w:val="5"/>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
        </w:trPr>
        <w:tc>
          <w:tcPr>
            <w:tcW w:w="270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21,496</w:t>
            </w: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6,963</w:t>
            </w:r>
          </w:p>
        </w:tc>
      </w:tr>
      <w:tr>
        <w:trPr>
          <w:trHeight w:val="202"/>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government revenue</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65,400</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Deferred collaboration revenue</w:t>
            </w:r>
          </w:p>
        </w:tc>
        <w:tc>
          <w:tcPr>
            <w:tcW w:w="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12,952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accrued current liabilities</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47,879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11,378</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3,077</w:t>
            </w:r>
          </w:p>
        </w:tc>
      </w:tr>
      <w:tr>
        <w:trPr>
          <w:trHeight w:val="203"/>
        </w:trPr>
        <w:tc>
          <w:tcPr>
            <w:tcW w:w="80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liability related to sale of future royalties</w:t>
            </w:r>
          </w:p>
        </w:tc>
        <w:tc>
          <w:tcPr>
            <w:tcW w:w="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4,060</w:t>
            </w:r>
          </w:p>
        </w:tc>
      </w:tr>
      <w:tr>
        <w:trPr>
          <w:trHeight w:val="196"/>
        </w:trPr>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86,754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90,878</w:t>
            </w:r>
          </w:p>
        </w:tc>
      </w:tr>
      <w:tr>
        <w:trPr>
          <w:trHeight w:val="203"/>
        </w:trPr>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6,007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14,449</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Deferred collaboration revenue, net of current portion</w:t>
            </w:r>
          </w:p>
        </w:tc>
        <w:tc>
          <w:tcPr>
            <w:tcW w:w="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Liability related to sale of future royalties, net of current portion</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1,698</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817</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439</w:t>
            </w:r>
          </w:p>
        </w:tc>
      </w:tr>
      <w:tr>
        <w:trPr>
          <w:trHeight w:val="196"/>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98,281</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107,464</w:t>
            </w:r>
          </w:p>
        </w:tc>
      </w:tr>
      <w:tr>
        <w:trPr>
          <w:trHeight w:val="196"/>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9"/>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$0.0001 par value; 5,000,000 shares authorized; none issued and outstanding as of December 31,</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6"/>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2025 or 2024</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Common Stock: $0.0001 par value; 350,000,000 shares authorized as of December 31, 2025 and 2024; 240,742,681</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shares issued and 240,494,594 shares outstanding as of December 31, 2025 and 228,203,822 shares issued and</w:t>
            </w: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3"/>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227,774,275 shares outstanding as of December 31, 2024</w:t>
            </w:r>
          </w:p>
        </w:tc>
        <w:tc>
          <w:tcPr>
            <w:tcW w:w="8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20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548,131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535,770</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Treasury Stock at cost, 248,087 shares as of December 31, 2025 and 429,547 shares as of December 31, 2024</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02"/>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(460,195)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(476,522)</w:t>
            </w:r>
          </w:p>
        </w:tc>
      </w:tr>
      <w:tr>
        <w:trPr>
          <w:trHeight w:val="203"/>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196"/>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87,798</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58,925</w:t>
            </w:r>
          </w:p>
        </w:tc>
      </w:tr>
      <w:tr>
        <w:trPr>
          <w:trHeight w:val="196"/>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80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186,079</w:t>
            </w: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166,389</w:t>
            </w:r>
          </w:p>
        </w:tc>
      </w:tr>
      <w:tr>
        <w:trPr>
          <w:trHeight w:val="20"/>
        </w:trPr>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royalty revenue related to sale of future royalties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1,929</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from government contracts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224,516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237,258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28,700</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201,576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74,213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20,780</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219,184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94,993</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(66,293)</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(66,688)</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16,327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(66,948)</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net income (loss) per share: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230,269,605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202,137,531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230,346,201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202,137,531</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available-for-sale investments, net of tax</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(66,943)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860" w:type="dxa"/>
            <w:vAlign w:val="bottom"/>
            <w:gridSpan w:val="4"/>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1860" w:type="dxa"/>
            <w:vAlign w:val="bottom"/>
            <w:gridSpan w:val="4"/>
            <w:vMerge w:val="restart"/>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7"/>
        </w:trPr>
        <w:tc>
          <w:tcPr>
            <w:tcW w:w="3380" w:type="dxa"/>
            <w:vAlign w:val="bottom"/>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860" w:type="dxa"/>
            <w:vAlign w:val="bottom"/>
            <w:gridSpan w:val="2"/>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88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88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Gain (Loss)</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Balances as of January 1, 2024</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153,959,853</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(507,020)</w:t>
            </w:r>
          </w:p>
        </w:tc>
        <w:tc>
          <w:tcPr>
            <w:tcW w:w="22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(366)</w:t>
            </w: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467,731</w:t>
            </w:r>
          </w:p>
        </w:tc>
        <w:tc>
          <w:tcPr>
            <w:tcW w:w="240" w:type="dxa"/>
            <w:vAlign w:val="bottom"/>
            <w:gridSpan w:val="2"/>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(409,574)</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57,805</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September 2021 ATM, net of</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offering costs of $248</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7,719,641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8,801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8,802</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the 2024 Securities Purchase</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 net of offering costs of $55</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15,384,615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9,943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9,945</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the June 2024 Offering, net of</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offering costs of $2,455</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50,000,000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37,540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37,545</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38,030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502,423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treasury stock under ESPP</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280,516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Release of common stock for vested restricted stock units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599,260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 to satisfy tax withholding</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(203,043)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11,501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11,501</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gain on available-for-sale investments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(66,948)</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(66,948)</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Balances as of December 31, 2024</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228,203,822</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00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(429,547)</w:t>
            </w:r>
          </w:p>
        </w:tc>
        <w:tc>
          <w:tcPr>
            <w:tcW w:w="22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535,770</w:t>
            </w:r>
          </w:p>
        </w:tc>
        <w:tc>
          <w:tcPr>
            <w:tcW w:w="240" w:type="dxa"/>
            <w:vAlign w:val="bottom"/>
            <w:gridSpan w:val="2"/>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(476,522)</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58,925</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March 2025 ATM, net of</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offering costs of $174</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382,700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3,625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the 2025 Securities Purchase</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 net of offering costs of $10</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11,111,111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4,201</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treasury stock under ESPP</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539,448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390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Release of common stock for vested restricted stock units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1,041,423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 to satisfy tax withholding</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(357,988)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8,314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8,314</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available-for-sale investments</w:t>
            </w: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16,327</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16,327</w:t>
            </w: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80" w:type="dxa"/>
            <w:vAlign w:val="bottom"/>
            <w:tcBorders>
              <w:bottom w:val="single" w:sz="8" w:color="CCEEFF"/>
            </w:tcBorders>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Balances as of December 31, 2025</w:t>
            </w:r>
          </w:p>
        </w:tc>
        <w:tc>
          <w:tcPr>
            <w:tcW w:w="88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240,742,681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rPr>
              <w:t>(248,087)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(159)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548,131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(460,195)</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87,798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8"/>
                <w:szCs w:val="18"/>
                <w:color w:val="auto"/>
              </w:rPr>
            </w:pPr>
          </w:p>
        </w:tc>
      </w:tr>
      <w:tr>
        <w:trPr>
          <w:trHeight w:val="199"/>
        </w:trPr>
        <w:tc>
          <w:tcPr>
            <w:tcW w:w="8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Pr>
          <w:p>
            <w:pPr>
              <w:spacing w:after="0"/>
              <w:rPr>
                <w:sz w:val="17"/>
                <w:szCs w:val="17"/>
                <w:color w:val="auto"/>
              </w:rPr>
            </w:pPr>
          </w:p>
        </w:tc>
      </w:tr>
      <w:tr>
        <w:trPr>
          <w:trHeight w:val="196"/>
        </w:trPr>
        <w:tc>
          <w:tcPr>
            <w:tcW w:w="80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16,327</w:t>
            </w:r>
          </w:p>
        </w:tc>
        <w:tc>
          <w:tcPr>
            <w:tcW w:w="102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(66,948)</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8,579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8,850</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discount on short-term investments, net</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modification of lease liability</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8,314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11,501</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interest expense related to sale of future royalties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2,969</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revenue related to sale of future royalties</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w:t>
            </w: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Unbilled receivable from government contracts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clinical services, long-term</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34,898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(60,116)</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14,639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5,273</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government revenue</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65,400</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collaboration revenue</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14,976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33,735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3,332</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7,714</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(44,764)</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(64,270)</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43,500</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16,632</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(21,324)</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proceeds from issuance of common stock through the 2025 Securities Purchase Agreement</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proceeds from issuance of common stock in the June 2024 Offering</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37,545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proceeds from issuance of common stock through at-the-market facilities</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8,802</w:t>
            </w:r>
          </w:p>
        </w:tc>
      </w:tr>
      <w:tr>
        <w:trPr>
          <w:trHeight w:val="20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proceeds from issuance of common stock through the 2024 Securities Purchase Agreement</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Shares acquired to settle employee tax withholding liabilities</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under the employee stock purchase plan</w:t>
            </w:r>
          </w:p>
        </w:tc>
        <w:tc>
          <w:tcPr>
            <w:tcW w:w="9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312</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treasury stock under the employee stock purchase plan</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4,239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56,562</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28,585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(9,526)</w:t>
            </w:r>
          </w:p>
        </w:tc>
      </w:tr>
      <w:tr>
        <w:trPr>
          <w:trHeight w:val="203"/>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beginning of the period</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25,229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34,755</w:t>
            </w: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2"/>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94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53,814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25,229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VAXART, INC. AND SUBSIDIARIES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Adjustment to operating lease right-of-use asset from lease modification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property and equipment included in accounts payable and other accrued current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Vaxart Biosciences, Inc. was originally incorporated in California in March 2004, under the name West Coast Biologicals, Inc. The Company changed its name to Vaxart, Inc. (“Private Vaxart”) in July 2007, and reincorporated in the state of Delaware. In February 2018, Private Vaxart completed a business combination with Aviragen Therapeutics, Inc. (“Aviragen”), pursuant to which Aviragen merged with Private Vaxart, with Private Vaxart surviving as a wholly-owned subsidiary of Aviragen (the “Merger”). Pursuant to the terms of the Merger, Aviragen changed its name to Vaxart, Inc. (together with its subsidiaries, the “Company” or “Vaxart”) and Private Vaxart changed its name to Vaxart Biosciences, Inc.</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November 2025, the Company entered into a Securities Purchase Agreement (the “Purchase Agreement”) with Dynavax Technologies Corporation (“Dynavax”), pursuant to which 11,111,111 shares of the Company’s common stock were sold to Dynavax at a purchase price of $0.45 per share. The gross proceeds from the Purchase Agreement were $5.0 million. After deducting offering expenses, the net proceeds were approximately $5.0 million.</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2025, the Company entered into an At the Market Offering Agreement (the “March 2025 ATM”) with Citizens JMP Securities, LLC (“Citizens”) and B. Riley Securities, Inc. (“B. Riley” and, together with Citizens, the “Managers”), pursuant to which the Company may offer and sell, from time to time through the Managers, shares of its common stock having an aggregate offering price of up to $50.0 million. The shares will be sold pursuant to an effective registration statement on Form S-3 (Registration Statement No. 333-270671) (the “2023 Shelf Registration Statement”), as previously filed with the U.S. Securities and Exchange Commission (the “SEC”). The Company filed a prospectus supplement, dated March 21, 2025, with the SEC in connection with the offer and sale of the shares under the March 2025 ATM. The Company will pay the Managers a placement fee of up to 3% of the gross sale price from each sale of shares under the March 2025 ATM. During the year ended December 31, 2025, 382,700 shares were issued and sold under the March 2025 ATM for gross proceeds of $0.2 million, which, after deducting sales commissions and expenses incurred to date, resulted in net proceeds of $0.1 million.</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Oppenheimer &amp; Co. Inc., relating to the issuance and sale by the Company in an underwritten registered direct offering of 50,000,000 shares of the Company’s common stock, at a price of $0.80 per share. The gross proceeds to the Company from such offering were $40.0 million, and after deducting the underwriting discounts and commissions and estimated offering expenses payable by the Company, the net proceeds were $37.5 million.</w:t>
      </w:r>
    </w:p>
    <w:p>
      <w:pPr>
        <w:spacing w:after="0" w:line="180"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color w:val="auto"/>
        </w:rPr>
        <w:t>In January 2024, the Company entered into a securities purchase agreement (the “2024 Securities Purchase Agreement”) with RA Capital Healthcare Fund, L.P. pursuant to which 15,384,615 shares of the Company’s common stock were sold to RA Capital Healthcare Fund, L.P. at an offering price of $0.65 per share pursuant to the Company’s shelf registration statement on Form S-3 (File No. 333-270671) (the “2023 Shelf Registration”). The gross proceeds from the 2024 Securities Purchase Agreement were $10.0 million and, after deducting offering expenses, the net proceeds were $9.9 million.</w:t>
      </w:r>
    </w:p>
    <w:p>
      <w:pPr>
        <w:spacing w:after="0" w:line="16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September 2021, the Company entered into a Controlled Equity Offering Sales Agreement (the “September 2021 ATM”), pursuant to which it may offer and sell, from time to time through Cantor Fitzgerald &amp; Co. and B. Riley Securities, Inc. (together, the “sales agents”), shares of its common stock having an aggregate offering price of up to $100 million. The Company filed a prospectus supplement with the SEC on September 16, 2021, a subsequent prospectus supplement with the SEC on May 9, 2023 and paid sales commissions of up to 3.0% of gross proceeds from the sale of shares. Effective October 18, 2024, the September 2021 ATM was terminated. Following such termination, the Company may not offer or sell any additional shares of its common stock under the September 2021 ATM or the related prospectus and prospectus supplement. From January 1, 2024 through October 18, 2024, 7,719,641 shares were issued and sold under the September 2021 ATM for gross proceeds of $9.1 million, which, after deducting sales commissions and expenses incurred to date, resulted in net proceeds of $8.8 million.</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principal operations are based in South San Francisco, California, and it operates in one reportable segment, which is the discovery and development of oral recombinant protein vaccines, based on its proprietary oral vaccine platform.</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Liquidity and Going Concern </w:t>
      </w:r>
      <w:r>
        <w:rPr>
          <w:rFonts w:ascii="Times New Roman" w:cs="Times New Roman" w:eastAsia="Times New Roman" w:hAnsi="Times New Roman"/>
          <w:sz w:val="18"/>
          <w:szCs w:val="18"/>
          <w:color w:val="auto"/>
        </w:rPr>
        <w:t>– The accompanying consolidated financial statements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(“U.S. GAAP”) and pursuant to the accounting and disclosure rules and regulations of the SEC assuming the Company will continue as a going concern.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a clinical-stage biotechnology company with no product sales. Its primary source of financing is from the sale and issuance of common stock in public offerings as well as funding from the Biomedical Advanced Research and Development Authority (“HHS BARDA”), a division of the Administration for Strategic Preparedness and Response (“ASPR”) within the United States (“U.S.”) Department of Health and Human Services. In the past, we have also obtained funds from the issuance of common stock warrants, secured debt and preferred stock and from collaboration agreements. As of December 31, 2025, the Company had cash, cash equivalents and short-term investments of $63.8 million. The Company’s cash, cash equivalents and investments are sufficient to fund the Company’s planned operations for at least the period of 12 months from the date the consolidated financial statements are issued.</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will be dependent upon raising additional capital through placement of its common stock, notes or other securities, borrowings, or entering into a partnership with a strategic party in order to implement its business plan. There can be no assurance that the Company will be successful raising additional capital in order to continue as a going concern.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Based on management’s current plan, including updated assumptions around the continued execution under the 2024 ATI-RRPV Contract, and considering events occurring after the balance-sheet date, the Company reassessed its liquidity and going-concern evaluation. On November 4, 2025, the Company entered into (i) an Exclusive License and Collaboration Agreement (the “2025 License and Collaboration Agreement”) and (ii) a Securities Purchase Agreement (“2025 Securities Purchase Agreement”) with Dynavax Technologies Corporation (“Dynavax”). Per the 2025 License and Collaboration Agreement, the Company granted Dynavax an exclusive, worldwide license to develop and commercialize its investigational oral COVID-19 vaccine candidate. Dynavax agreed to pay the Company an up-front license fee of $25.0 million and, pursuant to the 2025 Securities Purchase Agreement, to purchase $5.0 million of the Company’s common stock at $0.45 per share. The Company received a total of approximately $30.0 million from these transactions. Together with the Company’s updated operating plan and ongoing cost-management initiatives, these proceeds extend the Company’s cash runway into the second quarter of 2027. Accordingly, management concluded that the conditions and events that previously raised substantial doubt about the Company’s ability to continue as a going concern have been alleviated. The accompanying consolidated financial statements have been prepared assuming that the Company will continue as a going concern, which contemplates the realization of assets and the settlement of liabilities and commitments in the normal course of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do not include any adjustments that might be necessary if the Company is unable to continue as a going concern.</w:t>
      </w:r>
    </w:p>
    <w:p>
      <w:pPr>
        <w:spacing w:after="0" w:line="22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 The consolidated financial statements include the financial statements of Vaxart, Inc. and its subsidiaries. All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and balances between Vaxart, Inc. and its subsidiaries have been eliminated in consolidation.</w:t>
      </w:r>
    </w:p>
    <w:p>
      <w:pPr>
        <w:spacing w:after="0" w:line="15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consolidated financial statements in conformity with U.S. GAAP requires the Company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assumptions that affect the reported amounts of assets, liabilities (including accrued clinical and manufacturing accruals described within this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revenues and expenses and disclosure of contingent assets and liabilities in the consolidated financial statements and accompanying notes. Actual results and outcomes could differ from these estimates and assumptions.</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Currencies </w:t>
      </w:r>
      <w:r>
        <w:rPr>
          <w:rFonts w:ascii="Times New Roman" w:cs="Times New Roman" w:eastAsia="Times New Roman" w:hAnsi="Times New Roman"/>
          <w:sz w:val="18"/>
          <w:szCs w:val="18"/>
          <w:color w:val="auto"/>
        </w:rPr>
        <w:t>– Foreign exchange gains and losses for assets and liabilities of the Company’s non-U.S. subsidiaries for which the functional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is the U.S. dollar are recorded in foreign exchange gain or loss, net within other income and (expenses) in the Company’s consolidated statements of operations and comprehensive income (loss). The Company has no subsidiaries for which the local currency is the functional currency.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debt investments with an original maturity of three months or less when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cash equivalents. Cash equivalents, which may consist of amounts invested in money market funds, corporate bonds and commercial paper, are stated at fair value.</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 Excess cash balances may be invested in marketable debt securities. All marketable debt securities that are readily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known amounts of cash with stated maturities greater than three months when purchased are classified as investments.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determines the appropriate classification of its investments in marketable debt securities at the time of purchase and reevaluates such designation at each balance sheet date. Marketable debt securities are classified and accounted for as available-for-sale. The Company does not generally intend to sell the investments and it is more likely than not that the investments will not be required to be sold before recovery of the amortized cost bases, which may be at maturity.</w:t>
      </w:r>
    </w:p>
    <w:p>
      <w:pPr>
        <w:spacing w:after="0" w:line="180"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Marketable debt securities are carried at fair value and unrealized gains and losses, net of taxes, are reported as a component of stockholders’ equity. Any realized gains or losses on the sale of marketable debt securities are determined on a specific identification method, and such gains and losses are recorded as a component of other income (expense). Available-for-sale investments are classified as either current or non-current assets based on each instrument’s underlying effective maturity date and whether the Company has the intent and ability to hold the investment for a period of greater than 12 months.</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Marketable debt securities with remaining maturities of 12 months or less are classified as current and are reported as short-term investments in the consolidated balance sheets. Marketable debt securities with remaining maturities of more than 12 months for which the Company has the intent and ability to hold the investment for more than 12 months are classified as non-current and are included in long-term investments in the consolidated balance sheets.</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excludes the applicable accrued interest from both the fair value and amortized cost basis of marketable debt securities for purposes of identifying and measuring an impairment. Accrued interest receivable on marketable debt securities is recorded within prepaid expenses and other current assets on the balance sheets. The Company’s accounting policy is to not measure an allowance for credit loss for accrued interest receivable and to write-off any uncollectible accrued interest receivable as a reversal of interest income in a timely manner, which is considered to be in the period in which it is determined the accrued interest will not be collected.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each reporting date, the Company evaluates marketable debt securities with unrealized losses to determine whether such losses, if any, are due to credit-related factors. The Company records an allowance for credit losses when unrealized losses are due to credit-related factors. The Company evaluates, among other factors, whether the Company has the intention to sell any of its investments and whether it is more likely than not that the Company will be required to sell any of them before recovery of the amortized cost basis. Neither of these criteria were met in any period presented. In addition, the Company invests in marketable debt securities with high credit ratings that are classified in Level 1 and 2 of the fair value hierarchy and it has received and expects to continue to receive interest and principal payments as the investments become due. Based on this evaluation, as of December 31, 2025 and 2024, the Company determined that unrealized losses of its marketable debt securities were primarily attributable to changes in interest rates and other non-credit related factors. As such, no allowance for credit losses were recorded for the years ended December 31, 2025 and 2024.</w:t>
      </w:r>
    </w:p>
    <w:p>
      <w:pPr>
        <w:spacing w:after="0" w:line="18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significant concentrations of credit risk consist principally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cash, cash equivalents, available-for-sale investments and accounts receivable. The Company places its cash, cash equivalents and available-for-sale investments at financial institutions that the Company believes are of high credit quality. The Company is exposed to credit risk in the event of default by the financial institutions holding the cash and cash equivalents to the extent such amounts are in excess of the federally insured limits. Losses incurred or a lack of access to such funds could have a significant adverse impact on the Company’s financial condition, results of operations, and cash flows.</w:t>
      </w:r>
    </w:p>
    <w:p>
      <w:pPr>
        <w:spacing w:after="0" w:line="18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primary focus of the Company’s investment strategy is to preserve capital and meet liquidity requirements. The Company’s investment policy addresses the level of credit exposure by limiting the concentration in any one corporate issuer or sector and establishing a minimum allowable credit rating.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Unbilled Receivable from Government Contracts </w:t>
      </w:r>
      <w:r>
        <w:rPr>
          <w:rFonts w:ascii="Times New Roman" w:cs="Times New Roman" w:eastAsia="Times New Roman" w:hAnsi="Times New Roman"/>
          <w:sz w:val="18"/>
          <w:szCs w:val="18"/>
          <w:color w:val="auto"/>
        </w:rPr>
        <w:t>– Accounts receivable consists of government contract receivables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HHS BARDA for allowable cost-plus-fixed-fees and firm fixed-price, and royalty revenue receivable for sales, net of estimated returns, of Inavir and are reported at amounts expected to be collected in future periods. Unbilled receivable from government contracts consists of government revenue from HHS BARDA, which was earned and not yet billed. An allowance for expected credit losses over the life of the receivables is reserved for based on a combination of historical experience, aging analysis, current economic trends and information on specific accounts, with related amounts recorded as a reserve against revenue recognized. The reserve is re-evaluated on a regular basis and adjusted as needed. Once a receivable is deemed to be uncollectible, such balance is charged against the reserve. The Company has provided no allowance for credit losses as of December 31, 2025 and 2024.</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receivable and unbilled receivable from government contracts are subject to concentration risk whenever a customer has a balance that meets or exceeds 10% of the Company's total accounts receivable balance or has a balance that meets or exceeds 10% of the Company's total unbilled receivable balance. As of December 31, 2025, HHS BARDA represented 98% of the Company's total accounts receivable balance and 100% of the Company's total unbilled receivable balance. As of December 31, 2024, Daiichi Sankyo represented 52% of the Company's total accounts receivable balance, HHS BARDA represented 48% of the Company's total accounts receivable balance and HHS BARDA represented 100% of the Company's total unbilled receivable balance.</w:t>
      </w:r>
    </w:p>
    <w:p>
      <w:pPr>
        <w:spacing w:after="0" w:line="1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Prepaid Expenses and Prepaid Clinical Services, Long-Term </w:t>
      </w:r>
      <w:r>
        <w:rPr>
          <w:rFonts w:ascii="Times New Roman" w:cs="Times New Roman" w:eastAsia="Times New Roman" w:hAnsi="Times New Roman"/>
          <w:sz w:val="18"/>
          <w:szCs w:val="18"/>
          <w:color w:val="auto"/>
        </w:rPr>
        <w:t>– Prepaid expenses and prepaid clinical services, long-term consist of amounts paid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for services to be received in future periods and are recorded as assets when paid. Prepaid expenses are expensed when such amounts are utilized against costs from a specific vendor. Prepaid expenses are presented as short term (in prepaid expenses and other current assets) or long term (in prepaid clinical services, long-term) depending on whether such assets are expected to be utilized within one year. In circumstances where the vendor needs to approve that prepaid expenses can be applied (such as by issuing a credit memo), the Company will continue to classify such expenses as long term (in prepaid clinical services, long-term).</w:t>
      </w:r>
    </w:p>
    <w:p>
      <w:pPr>
        <w:spacing w:after="0" w:line="18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Property and equipment is carried at cost less accumulated depreciation. Depreciation is computed using the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over the estimated useful lives of the respective assets. Depreciation begins at the time the asset is placed in service. Maintenance and repairs are charged to operations as incurred. Upon sale or retirement of assets, the cost and related accumulated depreciation are removed from the consolidated balance sheets and the resulting gain or loss is reflected in other income and (expenses) in the period realized.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useful lives of the property and equipment are as follows:</w:t>
            </w:r>
          </w:p>
        </w:tc>
        <w:tc>
          <w:tcPr>
            <w:tcW w:w="486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 (in years)</w:t>
            </w:r>
          </w:p>
        </w:tc>
        <w:tc>
          <w:tcPr>
            <w:tcW w:w="4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 (in years)</w:t>
            </w:r>
          </w:p>
        </w:tc>
        <w:tc>
          <w:tcPr>
            <w:tcW w:w="4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spacing w:after="0"/>
              <w:rPr>
                <w:sz w:val="18"/>
                <w:szCs w:val="18"/>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Shorter of remaining lease term or estimated useful life</w:t>
            </w:r>
          </w:p>
        </w:tc>
      </w:tr>
    </w:tbl>
    <w:p>
      <w:pPr>
        <w:spacing w:after="0" w:line="194"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Goodwill and Other Intangible Assets </w:t>
      </w:r>
      <w:r>
        <w:rPr>
          <w:rFonts w:ascii="Times New Roman" w:cs="Times New Roman" w:eastAsia="Times New Roman" w:hAnsi="Times New Roman"/>
          <w:sz w:val="17"/>
          <w:szCs w:val="17"/>
          <w:color w:val="auto"/>
        </w:rPr>
        <w:t>– Goodwill, which represents the excess of the purchase price over the fair value of assets acquired, is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amortized. Intangible assets comprise developed technology and intellectual property. Intangible assets are carried at cost less accumulated amortization. Amortization is computed using the straight-line method over useful life of 11.75 years for developed technology and 20 years for intellectual property.</w:t>
      </w:r>
    </w:p>
    <w:p>
      <w:pPr>
        <w:spacing w:after="0" w:line="15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The Company reviews its long-lived assets, including property and equipment, goodwill and intangible assets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finite lives, for impairment in the fourth quarter of each year, and more frequently whenever events or changes in circumstances indicate the carrying amount of these assets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are less than the assets’ carrying value, the related assets will be written down to fair value. The Company assessed its developed technology as not impaired in the years ended December 31, 2025 and 2024 (see </w:t>
      </w:r>
      <w:r>
        <w:rPr>
          <w:rFonts w:ascii="Times New Roman" w:cs="Times New Roman" w:eastAsia="Times New Roman" w:hAnsi="Times New Roman"/>
          <w:sz w:val="18"/>
          <w:szCs w:val="18"/>
          <w:u w:val="single" w:color="auto"/>
          <w:color w:val="0000EE"/>
        </w:rPr>
        <w:t>Note 4</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Accrued Clinical and Manufacturing Expenses </w:t>
      </w:r>
      <w:r>
        <w:rPr>
          <w:rFonts w:ascii="Times New Roman" w:cs="Times New Roman" w:eastAsia="Times New Roman" w:hAnsi="Times New Roman"/>
          <w:sz w:val="18"/>
          <w:szCs w:val="18"/>
          <w:color w:val="auto"/>
        </w:rPr>
        <w:t>– The Company accrues for estimated costs of research and development activities conducted by third-party service providers, which include the conduct of preclinical studies and clinical trials, and contract manufacturing activities. The Company records the estimated costs of research and development activities based upon the estimated amount of services provided and includes the costs incurred but not yet invoiced within other accrued liabilities in the consolidated balance sheets and within research and development expense in the consolidated statements of operations and comprehensive income (loss). These costs can be a significant component of the Company’s research and development expenses.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estimates the amount of services provided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it adjusts its accrued estimates. Although the Company does not expect its estimates to be materially different from amounts actually incurred, its understanding of the status and timing of services performed, the number of subjects enrolled, and the rate of enrollment may vary from its estimates and could result in the Company reporting amounts that are too high or too low in any particular period. The Company’s accrued expenses are dependent, in part, upon the receipt of timely and accurate reporting from contract research organizations and other third-party service providers. To date, the Company has not experienced any material differences between accrued costs and actual costs incurred.</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records operating leases as right-of-use assets and operating lease liabilities in its consolidated balance sheets for all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leases with terms exceeding one year. Right-of-use assets represent the right to use an underlying asset for the lease term, including extension options considered reasonably certain to be exercised, and operating lease liabilities to make lease payments. Right-of-use assets and operating lease liabilities are recognized based on the present value of lease payments over the lease term. To the extent that lease agreements do not provide an implicit rate, the Company uses its incremental borrowing rate based on information available at the lease commencement date to determine the present value of lease payments. We account for lease modifications that are not separate leases by remeasuring the lease liability at the effective date of modification using updated lease terms and discount rates, with a corresponding adjustment to right-of-use assets. The expense for operating lease payments is recognized on a straight-line basis over the lease term and is included in operating expenses in the Company’s consolidated statement of operations and comprehensive income (loss). The Company has elected to not separate lease and non-lease components of facilities leases, whereas non-lease components of equipment leases are accounted for separately from lease components.</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Company recognizes revenue when it transfers control of promised goods or services to its customers, in an amount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reflects the consideration which the Company expects to receive in exchange for those goods or services. To determine revenue recognition, the Company performs the following five steps:</w:t>
      </w:r>
    </w:p>
    <w:p>
      <w:pPr>
        <w:spacing w:after="0" w:line="175" w:lineRule="exact"/>
        <w:rPr>
          <w:sz w:val="20"/>
          <w:szCs w:val="20"/>
          <w:color w:val="auto"/>
        </w:rPr>
      </w:pPr>
    </w:p>
    <w:p>
      <w:pPr>
        <w:ind w:left="980" w:hanging="648"/>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promised goods or services in the contract;</w:t>
      </w:r>
    </w:p>
    <w:p>
      <w:pPr>
        <w:spacing w:after="0" w:line="252" w:lineRule="exact"/>
        <w:rPr>
          <w:rFonts w:ascii="Times New Roman" w:cs="Times New Roman" w:eastAsia="Times New Roman" w:hAnsi="Times New Roman"/>
          <w:sz w:val="18"/>
          <w:szCs w:val="18"/>
          <w:color w:val="auto"/>
        </w:rPr>
      </w:pPr>
    </w:p>
    <w:p>
      <w:pPr>
        <w:ind w:left="980" w:right="40" w:hanging="648"/>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the promised goods or services are performance obligations including whether they are distinct in the context of the contract;</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the transaction price, including the constraint on variable consideration;</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based on estimated selling prices; and</w:t>
      </w:r>
    </w:p>
    <w:p>
      <w:pPr>
        <w:spacing w:after="0" w:line="252" w:lineRule="exact"/>
        <w:rPr>
          <w:rFonts w:ascii="Times New Roman" w:cs="Times New Roman" w:eastAsia="Times New Roman" w:hAnsi="Times New Roman"/>
          <w:sz w:val="18"/>
          <w:szCs w:val="18"/>
          <w:color w:val="auto"/>
        </w:rPr>
      </w:pPr>
    </w:p>
    <w:p>
      <w:pPr>
        <w:ind w:left="980" w:right="120" w:hanging="648"/>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each performance obligation. A performance obligation is a promise in a contract to transfer a distinct good or service to the customer and is the unit of account.</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Revenue from royalties earned as a percentage of end-user sales, including milestone payments based on achieving a specified level of sales, where a license is deemed to be the predominant item to which the royalties relate, is recognized as revenue at the later of (i) when the related sales occur, or (ii) when the performance obligation to which some or all of the royalty has been allocated has been satisfied (or partially satisfied), as required under the sales- and usage-based royalty exception.</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recognized ratably, based on costs incurred, as the Company provides promised services to its customers in amounts that reflect the consideration that the Company expects to receive for those services.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accounting for license and collaboration agreements requires significant judgment due to the complexity of the contractual terms and the application of revenue recognition guidance. In particular, the Company is required to evaluate whether performance obligations are satisfied over time or at a point in time and to determine the appropriate measure of progress for performance obligations satisfied over time. Estimating total expected inputs involves significant judgment and requires the Company to make assumptions regarding the scope of work, expected costs, and other factors that may not be fully known at contract inception. These estimates are reviewed and updated on a periodic basis as additional information becomes available. Changes in estimates of total expected inputs or changes in the assessment of the timing of satisfaction of performance obligations may result in cumulative catch-up adjustments to revenue in the period in which the changes are identified, which could be material to the Company’s consolidated financial statements.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Government Contracts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firm fixed-price milestone contracts, the Company recognizes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Under cost reimbursable contracts, the Company recognizes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 as detailed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Payments to the Company under cost reimbursable contracts are provisional payments subject to adjustment upon annual audit by the government. The Company believes that revenue for 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the 2025 License and Collaboration Agreement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enters into license and collaboration agreements that may include the grant of licenses to intellectual property, research and development services, participation on joint governance committees, and manufacturing technology transfer. The terms of such arrangements may include non-refundable upfront payments, development and regulatory milestone payments, sales-based milestone payments, royalties on future product sales, and other contingent payments.</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accounts for its license and collaboration agreements in accordance with ASC 606, Revenue from Contracts with Customers. Under ASC 606, the Company identifies the performance obligations in the contract, determines the transaction price, allocates the transaction price to the identified performance obligations based on their relative standalone selling prices, and recognizes revenue when, or as, the performance obligations are satisfied.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Performance obligations under these arrangements may include licenses to intellectual property and research and development services. The Company evaluates whether licenses are distinct from other promised services and whether they represent functional intellectual property that provides a right to use intellectual property as it exists at a point in time or symbolic intellectual property that provides a right to access intellectual property over time. Licenses determined to be functional intellectual property are recognized at a point in time when control transfers to the customer. Research and development services are generally recognized over time as the services are performed.</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transaction price may include fixed consideration, such as upfront payments, and variable consideration, such as milestone payments and royalties. Variable consideration is included in the transaction price only to the extent that it is probable that a significant reversal of cumulative revenue recognized will not occur when the uncertainty associated with the variable consideration is resolved. Milestone payments that are not subject to the sales-based royalty exception are evaluated under the variable consideration constraint and recognized when the associated uncertainty is resolved. Sales-based milestone payments and royalties are recognized as revenue when the underlying sales occur.</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performance obligations satisfied over time, the Company measures progress using an input method based on costs incurred relative to total estimated costs to complete the performance obligation. Estimates of total costs are reassessed at each reporting period, and adjustments to revenue are recorded as a cumulative catch-up if estimates change.</w:t>
      </w:r>
    </w:p>
    <w:p>
      <w:pPr>
        <w:spacing w:after="0" w:line="172"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Costs </w:t>
      </w:r>
      <w:r>
        <w:rPr>
          <w:rFonts w:ascii="Times New Roman" w:cs="Times New Roman" w:eastAsia="Times New Roman" w:hAnsi="Times New Roman"/>
          <w:sz w:val="18"/>
          <w:szCs w:val="18"/>
          <w:color w:val="auto"/>
        </w:rPr>
        <w:t>– Research and development costs are expensed as incurred. Research and development costs consist primarily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salaries and benefits, stock-based compensation, consultant fees, third-party costs for conducting clinical trials and the manufacture of clinical trial materials, certain facility costs and other costs associated with clinical trials. Payments made to other entities are under agreements that are generally cancelable by the Company. Advance payments for research and development activities are recorded as prepaid expenses. The prepaid amounts are expensed as the related services are performed.</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one clinical research organization (“CRO”) and one analytical testing vendor collectively represented 76% of the Company's total research and development costs. For the year ended December 31, 2024, one CRO represented 18% of the Company's total research and development costs.</w:t>
      </w:r>
    </w:p>
    <w:p>
      <w:pPr>
        <w:spacing w:after="0" w:line="17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Stock-based compensation arrangements include stock option grants and restricted stock units (“RSU”s) awards under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incentive plans, as well as shares issued under our Employee Stock Purchase Plan (“ESPP”), through which employees may purchase our common stock at a discount to the market price. Stock-based compensation is measured at the grant date for all stock-based awards made to employees and non-employees based on the fair value of the awards, net of estimated forfeitures. Compensation expense for purchases under the ESPP is recognized based on the fair value of the award on the date of offering. The fair value of these awards is estimated using the Black-Scholes valuation model. The expected term of each option is estimated by taking the arithmetic average of its original contractual term and its average vesting term.</w:t>
      </w:r>
    </w:p>
    <w:p>
      <w:pPr>
        <w:spacing w:after="0" w:line="1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(Loss) Per Share </w:t>
      </w:r>
      <w:r>
        <w:rPr>
          <w:rFonts w:ascii="Times New Roman" w:cs="Times New Roman" w:eastAsia="Times New Roman" w:hAnsi="Times New Roman"/>
          <w:sz w:val="18"/>
          <w:szCs w:val="18"/>
          <w:color w:val="auto"/>
        </w:rPr>
        <w:t>– Basic net income (loss) per share is computed by dividing net income (loss) by the weighted average number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outstanding during the period, without consideration of potential common shares.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Diluted net income (loss) per common share is computed giving effect to all potential dilutive common shares, comprising common stock issuable upon exercise of stock options, warrants, RSUs and ESPP. The Company uses the treasury-stock method to compute diluted income (loss) per share with respect to its stock options, warrants, RSUs and ESPP. For purposes of this calculation, options, warrants, RSUs and ESPP plan grants to purchase common stock are considered to be potential common shares and are only included in the calculation of diluted net income per share when their effect is dilutive. In the event of a net loss, the effects of all potentially dilutive shares are excluded from the diluted net loss per share calculation as their inclusion would be antidilutive.</w:t>
      </w:r>
    </w:p>
    <w:p>
      <w:pPr>
        <w:sectPr>
          <w:pgSz w:w="11900" w:h="16838" w:orient="portrait"/>
          <w:cols w:equalWidth="0" w:num="1">
            <w:col w:w="11220"/>
          </w:cols>
          <w:pgMar w:left="320" w:top="121" w:right="359" w:bottom="140" w:gutter="0" w:footer="0" w:header="0"/>
        </w:sectPr>
      </w:pPr>
    </w:p>
    <w:bookmarkStart w:id="114" w:name="page115"/>
    <w:bookmarkEnd w:id="114"/>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 Prior year data is subject to reclassification to conform to current year presentation. No reclassifications were made for the years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and 2024.</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enhances the annual income tax disclosures for the effective tax rate reconciliation and income taxes paid. ASU 2023-09 is effective for annual reporting periods beginning after December 15, 2024, with early adoption permitted. Income taxes information regarding the annual effective tax rate is now to be disclosed in a newly designed and expanded tabular format with mandatory prescriptive captions. Income tax payments, net of refunds received, will now be disclosed in the income tax footnotes, the disclosure of which would need to agree with the longstanding disclosure in the cash flow statement; and will be disaggregated by federal, states, and foreign jurisdictions and by “significant” jurisdictions within “states” and “foreign.” Companies can adopt the new requirements prospectively without revisions of comparative period disclosures but the income tax footnote disclosures in the year of adoption would not be comparable (2025 disclosures would follow the new requirements of ASU 2023-09, while the comparative-period disclosures of 2024 would follow the current disclosure requirements in ASC 740-50, </w:t>
      </w:r>
      <w:r>
        <w:rPr>
          <w:rFonts w:ascii="Times New Roman" w:cs="Times New Roman" w:eastAsia="Times New Roman" w:hAnsi="Times New Roman"/>
          <w:sz w:val="18"/>
          <w:szCs w:val="18"/>
          <w:i w:val="1"/>
          <w:iCs w:val="1"/>
          <w:color w:val="auto"/>
        </w:rPr>
        <w:t>Income Taxes–Disclosure,</w:t>
      </w:r>
      <w:r>
        <w:rPr>
          <w:rFonts w:ascii="Times New Roman" w:cs="Times New Roman" w:eastAsia="Times New Roman" w:hAnsi="Times New Roman"/>
          <w:sz w:val="18"/>
          <w:szCs w:val="18"/>
          <w:color w:val="auto"/>
        </w:rPr>
        <w:t xml:space="preserve"> and related SEC requirements). To maintain comparability, retroactive application to comparative-period disclosures is allowed. The Company adopted ASU 2023-09 on a prospective basis during the year ended December 31, 2025, with no material impact on its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requires new disclosures to disaggregate prescribed natural expenses underlying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statement caption. ASU 2024-03 is effective for annual reporting periods beginning after December 15, 2026, and interim reporting periods beginning after December 15, 2027, with early adoption permitted. The Company is currently assessing the impact ASU 2024-03 will have on the consolidated financial statement disclosures.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introducing a practical expedient and an accounting policy election for certain entities in estimating expected credit losses for current accounts receivable and current contract assets arising from transactions within the scope of ASC 606, Revenue from Contracts with Customers. Under the practical expedient, entities may assume that current conditions as of the balance sheet date remain unchanged for the remaining life of the asset when developing forecasts. ASU 2025-05 is effective for the Company beginning in the first quarter of 2026, with early adoption permitted, and should be applied prospectively. The Company is currently assessing the impact of the new guidance on its consolidated financial statement disclosures; however, no material effect is expected based on the current nature of the Company’s receivables and contract assets.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assessing the impact ASU 2025-11 will have on the consolidated financial statement disclosures.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updates the Codification for a broad range of topics arising from technical corrections, unintended application of the Codification, clarifications, and other minor improvements. This ASU is effective for annual reporting periods beginning after December 15, 2026, and interim periods within those annual reporting periods, with early adoption permitted on an issue-by-issue basis. ASU 2025-12 is not expected to have a material effect on the Company's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Fair value accounting is applied for all financial assets and liabilities and nonfinancial assets and liabilities that are recognized or disclosed at fair value in the consolidated financial statements on a recurring basis (at least annually). Financial instruments include cash and cash equivalents, marketable securities, accounts receivable, accounts payable and accrued liabilities that approximate fair value due to their relatively short maturities.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to sell an asset or paid to transfer a liability (an exit price) in an orderly transaction between market participants at the reporting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three-level hierarchy for the inputs to valuation techniques is briefly summarized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that are measured on a recurring basis as of December 31, 2025 and 2024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46,164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46,164</w:t>
            </w: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14,060</w:t>
            </w:r>
          </w:p>
        </w:tc>
      </w:tr>
      <w:tr>
        <w:trPr>
          <w:trHeight w:val="250"/>
        </w:trPr>
        <w:tc>
          <w:tcPr>
            <w:tcW w:w="5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46,164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14,060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60,224</w:t>
            </w:r>
          </w:p>
        </w:tc>
      </w:tr>
      <w:tr>
        <w:trPr>
          <w:trHeight w:val="410"/>
        </w:trPr>
        <w:tc>
          <w:tcPr>
            <w:tcW w:w="56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16,489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16,489</w:t>
            </w: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23,805</w:t>
            </w:r>
          </w:p>
        </w:tc>
      </w:tr>
      <w:tr>
        <w:trPr>
          <w:trHeight w:val="216"/>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2,689</w:t>
            </w:r>
          </w:p>
        </w:tc>
      </w:tr>
      <w:tr>
        <w:trPr>
          <w:trHeight w:val="209"/>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16,489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26,494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42,983</w:t>
            </w:r>
          </w:p>
        </w:tc>
      </w:tr>
      <w:tr>
        <w:trPr>
          <w:trHeight w:val="20"/>
        </w:trPr>
        <w:tc>
          <w:tcPr>
            <w:tcW w:w="5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held no financial liabilities measured on a recurring basis as of</w:t>
            </w:r>
          </w:p>
        </w:tc>
        <w:tc>
          <w:tcPr>
            <w:tcW w:w="2980" w:type="dxa"/>
            <w:vAlign w:val="bottom"/>
            <w:gridSpan w:val="6"/>
          </w:tcPr>
          <w:p>
            <w:pPr>
              <w:jc w:val="right"/>
              <w:ind w:right="772"/>
              <w:spacing w:after="0"/>
              <w:rPr>
                <w:sz w:val="20"/>
                <w:szCs w:val="20"/>
                <w:color w:val="auto"/>
              </w:rPr>
            </w:pPr>
            <w:r>
              <w:rPr>
                <w:rFonts w:ascii="Times New Roman" w:cs="Times New Roman" w:eastAsia="Times New Roman" w:hAnsi="Times New Roman"/>
                <w:sz w:val="18"/>
                <w:szCs w:val="18"/>
                <w:color w:val="auto"/>
              </w:rPr>
              <w:t>December 31, 2025 or 2024.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5980" w:type="dxa"/>
            <w:vAlign w:val="bottom"/>
            <w:gridSpan w:val="2"/>
          </w:tcPr>
          <w:p>
            <w:pPr>
              <w:ind w:left="550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56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225" w:lineRule="exact"/>
        <w:rPr>
          <w:sz w:val="20"/>
          <w:szCs w:val="20"/>
          <w:color w:val="auto"/>
        </w:rPr>
      </w:pPr>
    </w:p>
    <w:p>
      <w:pPr>
        <w:ind w:left="760" w:hanging="428"/>
        <w:spacing w:after="0"/>
        <w:tabs>
          <w:tab w:leader="none" w:pos="76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Cash and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14,063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14,060</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63,810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63,807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53,814</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Cash and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8,740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8,740</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23,805</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51,719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51,723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25,229</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26,494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As of December 31, 2025 and 2024, all investments were available-for-sale debt securities with remaining maturities of 12 months or less. As of</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0" w:type="dxa"/>
            <w:vAlign w:val="bottom"/>
          </w:tcPr>
          <w:p>
            <w:pPr>
              <w:spacing w:after="0"/>
              <w:rPr>
                <w:sz w:val="1"/>
                <w:szCs w:val="1"/>
                <w:color w:val="auto"/>
              </w:rPr>
            </w:pPr>
          </w:p>
        </w:tc>
      </w:tr>
    </w:tbl>
    <w:p>
      <w:pPr>
        <w:ind w:right="80"/>
        <w:spacing w:after="0" w:line="255" w:lineRule="auto"/>
        <w:rPr>
          <w:sz w:val="20"/>
          <w:szCs w:val="20"/>
          <w:color w:val="auto"/>
        </w:rPr>
      </w:pPr>
      <w:r>
        <w:rPr>
          <w:rFonts w:ascii="Times New Roman" w:cs="Times New Roman" w:eastAsia="Times New Roman" w:hAnsi="Times New Roman"/>
          <w:sz w:val="18"/>
          <w:szCs w:val="18"/>
          <w:color w:val="auto"/>
        </w:rPr>
        <w:t>31, 2025 and 2024, the Company held 4 and 5 securities, respectively, in an unrealized loss position for 12 months or less. Interest receivable as of December 31, 2025 and 2024, was $0.2 million and $0.2 million, respectively, and is recorded as a component of prepaid expenses and other current assets on the consolidated balance sheets.</w:t>
      </w:r>
    </w:p>
    <w:p>
      <w:pPr>
        <w:spacing w:after="0" w:line="18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At each reporting date, the Company performs an evaluation of impairment to determine if any unrealized losses are due to credit-related factors. The Company records an allowance for credit losses when unrealized losses are due to credit-related factors. Factors considered when evaluating available-for-sale investments for impairment include the severity of the impairment, changes in underlying credit ratings, the financial condition of the issuer, the probability that the scheduled cash payments will continue to be made and the Company’s intent and ability to hold the investment until recovery of the amortized cost basis. The Company has the ability, if necessary, to liquidate any of its cash equivalents and marketable securities to meet its liquidity needs.</w:t>
      </w:r>
    </w:p>
    <w:p>
      <w:pPr>
        <w:spacing w:after="0" w:line="16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there were no material declines in the market value of the Company’s available-for-sale investments due to credit-related factors. The Company does not intend to sell the investments, and it is not more likely than not that the Company will be required to sell the investments before recovery of their amortized cost basis. As of December 31, 2025 and 2024, no allowance for credit losses was recorded and the Company did not recognize any impairment losses related to investments.</w:t>
      </w:r>
    </w:p>
    <w:p>
      <w:pPr>
        <w:spacing w:after="0" w:line="176" w:lineRule="exact"/>
        <w:rPr>
          <w:sz w:val="20"/>
          <w:szCs w:val="20"/>
          <w:color w:val="auto"/>
        </w:rPr>
      </w:pPr>
    </w:p>
    <w:p>
      <w:pPr>
        <w:ind w:left="760" w:hanging="428"/>
        <w:spacing w:after="0"/>
        <w:tabs>
          <w:tab w:leader="none" w:pos="76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2025 accounts receivable of $14.6 million consisted of $14.2 million of government contract receivable from 2024 ATI-RRPV Contract and $0.3 million of royalty receivable. As of December 31, 2024, accounts receivable balance of $5.7 million consisted of $2.7 million of government contract receivables from HHS BARDA and $3.0 million royalty receivable. See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provided no allowance for credit losses as of December 31, 2025 and 2024 based on historical collection experience, customer credit worthiness, the age of accounts receivable balances, regulatory changes and current economic conditions and trends that may affect a customer’s ability to pay.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19" w:lineRule="exact"/>
        <w:rPr>
          <w:sz w:val="20"/>
          <w:szCs w:val="20"/>
          <w:color w:val="auto"/>
        </w:rPr>
      </w:pPr>
    </w:p>
    <w:p>
      <w:pPr>
        <w:ind w:left="760" w:hanging="428"/>
        <w:spacing w:after="0"/>
        <w:tabs>
          <w:tab w:leader="none" w:pos="76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Unbilled Receivable from Government Contracts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Unbilled receivable, which was earned and not yet billed, consists of government contracts from HHS BARDA of $36.8 million and $6.2 million as of December 31, 2025 and 2024, respectively, as detailed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Prepaid Expenses and Other Current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clinical and manufacturing expenses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1,998</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1,449</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6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4,568</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a significant concentration by one contract research organization (“CRO”), which represented 90% of the Company’s total prepaid expenses balance. As of December 31, 2024, there was a significant concentration by one CRO, which represented 28% of the Company’s total prepaid expenses balance.</w:t>
      </w:r>
    </w:p>
    <w:p>
      <w:pPr>
        <w:spacing w:after="0" w:line="172" w:lineRule="exact"/>
        <w:rPr>
          <w:sz w:val="20"/>
          <w:szCs w:val="20"/>
          <w:color w:val="auto"/>
        </w:rPr>
      </w:pPr>
    </w:p>
    <w:p>
      <w:pPr>
        <w:ind w:left="34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(e)</w:t>
        <w:tab/>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0"/>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w:t>
            </w:r>
          </w:p>
        </w:tc>
      </w:tr>
      <w:tr>
        <w:trPr>
          <w:trHeight w:val="250"/>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was $3.5 million, and $3.7 million for the years ended December 31, 2025 and 2024, respectively. There were no impairments of the Company’s property and equipment recorded for the years ended December 31, 2025 and 2024.</w:t>
      </w:r>
    </w:p>
    <w:p>
      <w:pPr>
        <w:spacing w:after="0" w:line="158" w:lineRule="exact"/>
        <w:rPr>
          <w:sz w:val="20"/>
          <w:szCs w:val="20"/>
          <w:color w:val="auto"/>
        </w:rPr>
      </w:pPr>
    </w:p>
    <w:p>
      <w:pPr>
        <w:ind w:left="740" w:hanging="408"/>
        <w:spacing w:after="0"/>
        <w:tabs>
          <w:tab w:leader="none" w:pos="74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Prepaid Clinical Services, Long-Term</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Prepaid clinical services, long-term were $25.2 million and $60.1 million for the years ended December 31, 2025 and 2024, respectively. The long-term prepaid clinical services represent amounts the Company has paid to a single CRO as a vendor deposit that will be utilized in more than one year.</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760" w:hanging="428"/>
        <w:spacing w:after="0"/>
        <w:tabs>
          <w:tab w:leader="none" w:pos="76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Right-of-Use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net comprises facilities of $11.4 million and $20.4 million as of December 31, 2025 and 2024, respectively.</w:t>
      </w:r>
    </w:p>
    <w:p>
      <w:pPr>
        <w:spacing w:after="0" w:line="221" w:lineRule="exact"/>
        <w:rPr>
          <w:sz w:val="20"/>
          <w:szCs w:val="20"/>
          <w:color w:val="auto"/>
        </w:rPr>
      </w:pPr>
    </w:p>
    <w:p>
      <w:pPr>
        <w:ind w:left="780" w:hanging="448"/>
        <w:spacing w:after="0"/>
        <w:tabs>
          <w:tab w:leader="none" w:pos="78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are comprised of developed technology and intellectual property. Intangible assets are carried at cost less accumulated amortization. As of December 31, 2025, developed technology and intellectual property had remaining lives of 3.9 years and 2.0 years, respectively. In each of the years ended December 31, 2025 and 2024, there have been no indicators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1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1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1140" w:type="dxa"/>
            <w:vAlign w:val="bottom"/>
            <w:tcBorders>
              <w:right w:val="single" w:sz="8" w:color="CCEEFF"/>
            </w:tcBorders>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216"/>
        </w:trPr>
        <w:tc>
          <w:tcPr>
            <w:tcW w:w="11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49"/>
        </w:trPr>
        <w:tc>
          <w:tcPr>
            <w:tcW w:w="114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413"/>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 amortization expense was $0.7 million for each of the years ended</w:t>
            </w:r>
          </w:p>
        </w:tc>
        <w:tc>
          <w:tcPr>
            <w:tcW w:w="242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December 31, 2025 and 2024.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8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As of December 31, 2025, the estimated future amortization expense by year is as follows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5"/>
        </w:trPr>
        <w:tc>
          <w:tcPr>
            <w:tcW w:w="114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Amount</w:t>
            </w:r>
          </w:p>
        </w:tc>
      </w:tr>
      <w:tr>
        <w:trPr>
          <w:trHeight w:val="20"/>
        </w:trPr>
        <w:tc>
          <w:tcPr>
            <w:tcW w:w="114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1140" w:type="dxa"/>
            <w:vAlign w:val="bottom"/>
            <w:tcBorders>
              <w:right w:val="single" w:sz="8" w:color="CCEEFF"/>
            </w:tcBorders>
          </w:tcPr>
          <w:p>
            <w:pPr>
              <w:spacing w:after="0"/>
              <w:rPr>
                <w:sz w:val="17"/>
                <w:szCs w:val="17"/>
                <w:color w:val="auto"/>
              </w:rPr>
            </w:pPr>
          </w:p>
        </w:tc>
        <w:tc>
          <w:tcPr>
            <w:tcW w:w="194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2026</w:t>
            </w:r>
          </w:p>
        </w:tc>
        <w:tc>
          <w:tcPr>
            <w:tcW w:w="2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732</w:t>
            </w:r>
          </w:p>
        </w:tc>
      </w:tr>
      <w:tr>
        <w:trPr>
          <w:trHeight w:val="216"/>
        </w:trPr>
        <w:tc>
          <w:tcPr>
            <w:tcW w:w="114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1140" w:type="dxa"/>
            <w:vAlign w:val="bottom"/>
            <w:tcBorders>
              <w:right w:val="single" w:sz="8" w:color="CCEEFF"/>
            </w:tcBorders>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2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114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50"/>
        </w:trPr>
        <w:tc>
          <w:tcPr>
            <w:tcW w:w="114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r>
    </w:tbl>
    <w:p>
      <w:pPr>
        <w:spacing w:after="0" w:line="194" w:lineRule="exact"/>
        <w:rPr>
          <w:sz w:val="20"/>
          <w:szCs w:val="20"/>
          <w:color w:val="auto"/>
        </w:rPr>
      </w:pPr>
    </w:p>
    <w:p>
      <w:pPr>
        <w:ind w:left="720" w:hanging="388"/>
        <w:spacing w:after="0"/>
        <w:tabs>
          <w:tab w:leader="none" w:pos="72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which represents the excess of the purchase price over the fair value of assets acquired, was $4.5 million as of December 31, 2025 and 2024. As of December 31, 2025 and 2024, there have been no indicators of impairment.</w:t>
      </w:r>
    </w:p>
    <w:p>
      <w:pPr>
        <w:spacing w:after="0" w:line="158" w:lineRule="exact"/>
        <w:rPr>
          <w:sz w:val="20"/>
          <w:szCs w:val="20"/>
          <w:color w:val="auto"/>
        </w:rPr>
      </w:pPr>
    </w:p>
    <w:p>
      <w:pPr>
        <w:ind w:left="720" w:hanging="388"/>
        <w:spacing w:after="0"/>
        <w:tabs>
          <w:tab w:leader="none" w:pos="72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Payable</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Accounts payable were $21.5 million and $7.0 million as of December 31, 2025 and 2024, respectively. As of December 31, 2025, there was a significant concentration by one CRO and one analytical testing vendor, which represented 94% of the Company’s total accounts payable balance. As of December 31, 2024, there was a significant concentration by one CRO, which represented 67% of the Company’s total accounts payable balance.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760" w:hanging="428"/>
        <w:spacing w:after="0"/>
        <w:tabs>
          <w:tab w:leader="none" w:pos="76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Government Revenue</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 xml:space="preserve">Deferred government revenue represents amounts received from HHS BARDA contracts, consisting of the 2024 ASPR-BARDA Contract (as defined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000000"/>
        </w:rPr>
        <w:t>) and the 2024 ATI-RRPV Contract (as defined 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000000"/>
        </w:rPr>
        <w:t>) where the earnings process is not yet complete. The Company will recognize deferred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government revenue once the earnings process is complete, in accordance with its revenue recognition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deferred government revenue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6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collected or invoiced</w:t>
            </w: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65,400</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65,400</w:t>
            </w:r>
          </w:p>
        </w:tc>
      </w:tr>
      <w:tr>
        <w:trPr>
          <w:trHeight w:val="20"/>
        </w:trPr>
        <w:tc>
          <w:tcPr>
            <w:tcW w:w="5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Amounts collected or invoiced during the year ended December 31, 2025 primarily relate to amounts received on the 2024 ATI-RRPV Contract (as defined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but for which revenue cannot yet be recognized due to contractual milestones not being achieved.</w:t>
      </w:r>
    </w:p>
    <w:p>
      <w:pPr>
        <w:spacing w:after="0" w:line="158" w:lineRule="exact"/>
        <w:rPr>
          <w:sz w:val="20"/>
          <w:szCs w:val="20"/>
          <w:color w:val="auto"/>
        </w:rPr>
      </w:pPr>
    </w:p>
    <w:p>
      <w:pPr>
        <w:ind w:left="720" w:hanging="388"/>
        <w:spacing w:after="0"/>
        <w:tabs>
          <w:tab w:leader="none" w:pos="72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Collaboration Revenue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Deferred collaboration revenue represents amounts received from the 2025 License and Collaboration Agreement with Dynavax, entered into in November 2025 (as defined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where the earnings process is not yet complete. The Company will recognize deferred collaboration revenue once the earnings process is complete, in accordance with its revenue recognition policies.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represents the Company's deferred collaboration revenue (in thousands):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for collaboration</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collected or invoiced</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17,084</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collaboration revenue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14,976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portion</w:t>
            </w:r>
          </w:p>
        </w:tc>
        <w:tc>
          <w:tcPr>
            <w:tcW w:w="100" w:type="dxa"/>
            <w:vAlign w:val="bottom"/>
          </w:tcPr>
          <w:p>
            <w:pPr>
              <w:spacing w:after="0"/>
              <w:rPr>
                <w:sz w:val="21"/>
                <w:szCs w:val="21"/>
                <w:color w:val="auto"/>
              </w:rPr>
            </w:pPr>
          </w:p>
        </w:tc>
        <w:tc>
          <w:tcPr>
            <w:tcW w:w="1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   Other Accrued Liabilities</w:t>
            </w: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 (in thousands):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and manufacturing expenses</w:t>
            </w:r>
          </w:p>
        </w:tc>
        <w:tc>
          <w:tcPr>
            <w:tcW w:w="1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current portion</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there was a significant concentration by one CRO, which represented 79% and 42% of the Company’s total other accrued liabilities balances, respectively.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 Related to Sale of Future Royalties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generates royalty revenue from the sale of Inavir in Japan, pursuant to a collaboration and license agreement that Aviragen entered into with Daiichi Sankyo Company, Limited (“Daiichi Sankyo”) in 2009. In September 2010, laninamivir octanoate was approved for sale by the Japanese Ministry of Health and Welfare for the treatment of influenza in adults and children, which Daiichi Sankyo markets as Inavir. Under the agreement, the Company currently receives a 4% royalty on net sales of Inavir in Japan. Based on information provided by Daiichi Sankyo, the Company believes the expiration of the last patent related to Inavir is in August 2036, at which time royalty revenue will cease. The Company’s royalty revenue is seasonal, in line with the flu season, so the majority of the Company’s royalty revenue and non-cash royalty revenue related to the sale of future royalties are earned in</w:t>
      </w:r>
    </w:p>
    <w:p>
      <w:pPr>
        <w:spacing w:after="0" w:line="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the first and fourth fiscal quarters. The royalty revenue related to Inavir recognized for the years ended December 31, 2025 and 2024, was zero. The Company recognized non-cash royalty revenue related to the sale of future royalties of $1.9 million and $3.8 million for the years ended December 31, 2025 and 2024, respectively. Both royalty revenue and the non-cash royalty revenue related to the sale of future royalties are subject to a 5% withholding tax in Japan, for which $0.1 million and $0.2 million was included in income tax expense for the years ended December 31, 2025 and 2024, respectively, further detailed in </w:t>
      </w:r>
      <w:r>
        <w:rPr>
          <w:rFonts w:ascii="Times New Roman" w:cs="Times New Roman" w:eastAsia="Times New Roman" w:hAnsi="Times New Roman"/>
          <w:sz w:val="18"/>
          <w:szCs w:val="18"/>
          <w:u w:val="single" w:color="auto"/>
          <w:color w:val="0000EE"/>
        </w:rPr>
        <w:t>Note 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Government Contracts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recognized revenue from government contracts with HHS BARDA of $224.5 million and $24.9 million for the years ended December 31, 2025 and 2024, respectively, consisting of revenue from the 2024 ASPR-BARDA Contract (as defined below) and the 2024 ATI-RRPV Contract (as defined below) described in more detail below. Unbilled receivable from government contracts consists of government revenue from HHS BARDA, which was earned and not yet billed. As of December 31, 2025 and 2024, the amount of unbilled receivable was $36.8 million and $6.2 million, respectively, and deferred revenue was $0.1 million and $65.4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ATI-RRPV Contract</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June 2024, the Company entered into an agreement (as modified or amended from time to time, the “2024 ATI-RRPV Contract”) with Advanced Technology International, the Rapid Response Partnership Vehicle’s Consortium Management Firm funded by HHS BARDA, which was modified in the second half of 2024 to increase funding and provide for the manufacturing of a vaccine candidate targeting the KP.2 strain and acquire an approved mRNA vaccine targeting the KP.2 strain. Pursuant to the 2024 ATI-RRPV Contract, the Company may receive funding of up to $460.7 million to conduct a Phase 2b comparative study evaluating the Company’s oral pill COVID-19 vaccine candidate against an mRNA vaccine comparator approved by the U.S. Food and Drug Administration (“FDA”). As of December 31, 2025, the 2024 ATI-RRPV Contract made available an aggregate amount of authorized milestones up to $316.1 million. Pursuant to Modification No. 6 to the 2024 ATI-RRPV Contract, dated March 10, 2026, the total amount of funding available for payment under the 2024 ATI-RRPV Contract is approximately $316.0 million (see Note 15) including $67.9 million of firm fixed price amounts and the remaining amount for reimbursement of costs incurred in trial preparation and execution activities. The 2024 ATI-RRPV</w:t>
      </w:r>
    </w:p>
    <w:p>
      <w:pPr>
        <w:spacing w:after="0" w:line="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Contract further contemplates additional funding up to $144.7 million if the Company and HHS BARDA decide to continue with the Phase 2b comparative study. The Company anticipates a further modification to the 2024 ATI-RRPV Contract that will reflect the reduced scope of work and corresponding reduction in funding that resulted from previously issued stop work orders.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accounts for the 2024 ATI-RRPV Contract under ASC 958-605 and recognizes revenue as the firm fixed-price milestone is earned and allowable cost-plus-fixed-fees are incurred. Reimbursable costs under the 2024 ATI-RRPV Contract primarily include direct labor, subcontract costs, materials, travel, and approved overhead and indirect costs. The 2024 ATI-RRPV Contract contains terms and conditions that are customary for contracts with HHS BARDA of this nature, including the U.S. government having the right to terminate the contract for convenience or to terminate for default if the Company fails to meet its obligations as set forth in the statement of work. Revenue from government contracts recognized on the 2024 ATI-RRPV Contract was $223.9 million, comprising of a cost-plus-fixed-fee of $158.4 million and a firm fixed-price milestone of $65.5 million, for the year ended December 31, 2025, based on costs incurred and the achievement of firm fixed-price milestones under the 2024 ATI-RRPV Contract. Revenue from government contracts recognized on the 2024 ATI-RRPV Contract was $16.2 million for the year ended December 31, 2024, based on costs incurred and the achievement of firm fixed-price milestones under the 2024 ATI-RRPV Contract. Deferred government revenue represents amounts that have been received from HHS BARDA and the earnings process is not yet complete. Deferred government revenue in current liabilities was $0.1 million and</w:t>
      </w:r>
    </w:p>
    <w:p>
      <w:pPr>
        <w:spacing w:after="0" w:line="5"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$64.8 million as of December 31, 2025 and 2024, respectively. The remaining deferred government revenue will be recognized as revenue once the earnings process is complete.</w:t>
      </w:r>
    </w:p>
    <w:p>
      <w:pPr>
        <w:spacing w:after="0" w:line="18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Company believes that if the 2024 ATI-RRPV Contract were to be terminated prior to completion of the Phase 2b comparative study, the costs incurred through the effective date of such termination and any settlement costs resulting from such termination would be allowable costs. Cost reimbursement payments to the Company are provisional payments subject to adjustment upon annual audit by the government. The Company believes that revenue for periods not yet audited will be recorded in amounts that are expected to be realized upon final audit and settlement. When the final determination of the allowable costs for any year has been made, revenue and billings may be adjusted accordingly in the period that the adjustment becomes known.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ASPR-BARDA Contract</w:t>
      </w:r>
    </w:p>
    <w:p>
      <w:pPr>
        <w:spacing w:after="0" w:line="22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January 2024, the Company was awarded a contract (as amended, the “2024 ASPR-BARDA Contract”) by HHS BARDA with a base and all options value of $9.3 million. Under the 2024 ASPR-BARDA Contract, the Company received an award to support clinical trial planning activities for a Phase 2b clinical trial that would compare the Company’s XBB vaccine candidate to an mRNA comparator to evaluate efficacy for symptomatic and asymptomatic disease, systemic and mucosal immune induction, and adverse events. The 2024 ASPR-BARDA Contract originally had a period of performance term that was set to expire in July 2024, but the Company entered into an amendment in July 2024 that extended the period of performance expiration date into October 2024. The Company accounts for the 2024 ASPR-BARDA Contract under Accounting Standards Codification 958-605 and recognizes revenue as donor-imposed conditions are met. Revenue from government contracts recognized on the 2024 ASPR-BARDA Contract was $0.6 million and $8.7 million for the years ended December 31, 2025 and 2024, respectively, based on the achievement of certain milestones under</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2024 ASPR-BARDA Contract. Deferred government revenue represents amounts that have been received from HHS BARDA and the earnings process is not yet complete. Deferred government revenue in current liabilities was zero and $0.6 million as of December 31, 2025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Dynavax License and Collaboration Agreement</w:t>
      </w:r>
    </w:p>
    <w:p>
      <w:pPr>
        <w:spacing w:after="0" w:line="2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November 4, 2025, the Company entered into the 2025 License and Collaboration Agreement with Dynavax relating to the Company’s investigational oral vaccine candidate for COVID-19 based on its proprietary oral delivery platform (the “Vaccine Candidate”). Pursuant to the License Agreement, the Company granted Dynavax an exclusive, worldwide license to develop and commercialize the Company’s oral pill Vaccine Candidate for SARS-CoV-2, SARS coronavirus, or MERS coronavirus, including COVID-19 and all variants thereof. Under the terms of the 2025 License and Collaboration Agreement, Dynavax paid the Company an upfront license fee of $25.0 million and purchased $5.0 million of the Company’s common stock pursuant to the 2025 Securities Purchase Agreement. The 2025 License and Collaboration Agreement includes the Company continue to develop the Vaccine Candidate by conducting and completing its ongoing Phase 2b clinical trial and delivering the end-of-Phase 2 data package, performing its obligations under the 2024 ATI-RRPV agreement and conducting additional development and manufacturing activities related to the Vaccine Candidate.</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Following the completion of the Company’s ongoing Phase 2b clinical trial and a planned end-of-Phase 2 meeting with the FDA, per the 2025 License and Collaboration Agreement, Dynavax has the right to elect, in its sole discretion, to assume responsibility for the continued development of the Vaccine Candidate. If Dynavax elects to assume responsibility for such continued development of the Vaccine Candidate, then Dynavax has agreed to pay the Company an additional fee of $50.0 million. If Dynavax does not elect to assume responsibility for such continued development of the Vaccine Candidate, then the 2025 License and Collaboration Agreement will terminate pursuant to its terms.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2025 License and Collaboration Agreement represented a contract with a customer and should be accounted for in accordance with ASC 606. The Company identified two performance obligations, (i) the exclusive license, together with the related transfer and manufacturing technology transfer (the “License Performance Obligation”), and (ii) the development program activities through delivery of the EOP2 Data Package, including participation in joint governance committees (the “Development Performance Obligation”).</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identified $25.8 million of total transaction price at inception, consisting of a non-refundable upfront payment of $25.0 million and the premium of approximately $0.8 million associated with Dynavax’s concurrent $5.0 million equity investment in the Company, which represented consideration in excess of the fair value of the common stock issued. The fixed consideration of $25.8 million was allocated to the two performance obligations on a relative standalone selling price basis. Revenue allocated to the License Performance Obligation was recognized at a point in time in the fourth quarter of 2025 upon completion of the technology transfer, when Dynavax obtained the right to use and benefit from the licensed intellectual property. Revenue allocated to the Development Performance Obligation is recognized over time using an input method based on costs incurred relative to total estimated costs to complete the development program.</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2025 License and Collaboration Agreement also includes potential additional consideration in the form of evaluation fees, a $50.0 million election payment, regulatory and commercial milestone payments, and royalties on future product sales. Such amounts represent variable consideration and are included in the transaction price only to the extent that it is probable that a significant reversal of cumulative revenue recognized will not occur. Sales-based milestones and royalties will be recognized as revenue when the underlying sales occur in accordance with the sales- or usage-based royalty exception in ASC 606.</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revenue of $10.8 million from the 2025 License and Collaboration Agreement, which consisted of license revenue of $8.7 million and collaboration revenue was $2.1 million. As of December 31, 2025, the amount of deferred collaboration revenue was $15.0 million, of which $13.0 million was classified as current and $2.0 million as non-current. The remaining deferred collaboration revenue will be recognized as revenue once the earnings process is complete.</w:t>
      </w:r>
    </w:p>
    <w:p>
      <w:pPr>
        <w:sectPr>
          <w:pgSz w:w="11900" w:h="16838" w:orient="portrait"/>
          <w:cols w:equalWidth="0" w:num="1">
            <w:col w:w="11240"/>
          </w:cols>
          <w:pgMar w:left="320" w:top="121" w:right="339" w:bottom="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Liabilities Related to Sale of Future Royalties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April 2016, Aviragen entered into a Royalty Interest Acquisition Agreement (the “RIAA”) with HealthCare Royalty Partners III, L.P. (“HCRP”). Under the RIAA, HCRP made a $20.0 million cash payment to Aviragen in consideration for acquiring certain royalty rights (“Royalty Rights”) related to the approved product Inavir in the Japanese market. The Royalty Rights were obtained pursuant to the collaboration and license agreements (the “License Agreement”) and a commercialization agreement that the Company entered into with Daiichi Sankyo. Per the terms of the RIAA, during the first royalty interest period of April 1, 2016 through March 31, 2025, HCRP is entitled to the first $3.0 million and any cumulative remaining shortfall amount</w:t>
      </w:r>
    </w:p>
    <w:p>
      <w:pPr>
        <w:spacing w:after="0" w:line="3" w:lineRule="exact"/>
        <w:rPr>
          <w:sz w:val="20"/>
          <w:szCs w:val="20"/>
          <w:color w:val="auto"/>
        </w:rPr>
      </w:pPr>
    </w:p>
    <w:p>
      <w:pPr>
        <w:ind w:right="1040"/>
        <w:spacing w:after="0" w:line="250" w:lineRule="auto"/>
        <w:rPr>
          <w:sz w:val="20"/>
          <w:szCs w:val="20"/>
          <w:color w:val="auto"/>
        </w:rPr>
      </w:pPr>
      <w:r>
        <w:rPr>
          <w:rFonts w:ascii="Times New Roman" w:cs="Times New Roman" w:eastAsia="Times New Roman" w:hAnsi="Times New Roman"/>
          <w:sz w:val="18"/>
          <w:szCs w:val="18"/>
          <w:color w:val="auto"/>
        </w:rPr>
        <w:t>plus 15% of the next $1.0 million in royalties earned in each year commencing on April 1, with any excess revenue being retained by the Company. Further, during the second royalty interest period beginning April 1, 2025 and ending on December 24, 2029, HCRP is entitled to</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first $2.7 million and any cumulative remaining shortfall amount, plus 15% of the next $1.0 million in royalties, with any excess revenue being retained by the Company. A shortfall occurs when, during an annual period ending on March 31, for the first royalty interest period of April 1, 2016 through March 31, 2025, the Company’s royalty payments fall below $3.0 million; and $2.7 million for the second royalty interest period of April 1, 2025 and ending on December 24, 2029, excluding the period of April 1, 2028 through December 24, 2029. In the event there shall remain any cumulative remaining shortfall amount as of December 24, 2029, any royalties received from Daiichi Sankyo subsequently by the Company would be payable to HCRP until the cumulative remaining shortfall amount has been paid.</w:t>
      </w:r>
    </w:p>
    <w:p>
      <w:pPr>
        <w:spacing w:after="0" w:line="19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avoidance of doubt, the RIAA states, in the event there is a remaining cumulative remaining shortfall amount as of December 24, 2029, the Company shall not be obligated to pay HCRP any royalty payment beyond what the Company is paid from Daiichi Sankyo. The cumulative remaining shortfall amount is the aggregate amount of the remaining shortfall for each annual period, which was $4.4 million and $6.0 million as of December 31, 2025 and 2024, respectively.</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relevant accounting guidance, due to a limit on the amount of royalties that HCRP can earn under the RIAA, this transaction was accounted for as a liability that is being amortized using the effective interest method over the life of the arrangement. The Company has no obligation to pay any amounts to HCRP other than to pass through to HCRP its share of royalties as they are received from Daiichi Sankyo. To record the amortization of the liability, the Company is required to estimate the total amount of future royalty payments to be received under the License Agreement and the payments that will be passed through to HCRP over the life of this agreement. Consequently, the Company imputes interest on the unamortized portion of the liability and records non-cash interest expense using an estimated effective interest rate. The royalties earned in each period that will be passed through to HCRP are recorded as non-cash royalty revenue related to sale of future royalties, with any excess not subject to pass-through being recorded as royalty revenue. When the pass-through royalties are paid to HCRP in the following quarter, the imputed liability related to sale of future royalties is commensurately reduced. The Company periodically assesses the expected royalty payments, and to the extent such payments are greater or less than the initial estimate, the Company adjusts the amortization of the liability and interest rate. As a result of this accounting, even though the Company does not retain HCRP’s share of the royalties, it will continue to record non-cash revenue related to those royalties until the amount of the associated liability, including the related interest, is fully amortized.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during the year ended December 31, 2025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 related to sale of future royalties, start of year</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 paid to HCRP</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recognized</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liability related to sale of future royalties, end of year</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portion</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portion</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118</w:t>
            </w: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73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has obtained the right of use for office and manufacturing facilities under six operating lease agreements with initial terms exceeding one year. The lease term at the commencement date is determined by considering whether renewal options and termination options are reasonably assured of exercise.</w:t>
      </w:r>
    </w:p>
    <w:p>
      <w:pPr>
        <w:spacing w:after="0" w:line="176"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The Company obtained the right of use of real estate located in South San Francisco, California, in November 2020 under a lease that was scheduled to terminate on September 30, 2025, which had been extended until March 31, 2029, with no additional extension option. On December 18, 2025, the Company entered into an agreement to terminate this lease agreement effective May 15, 2026, which was originally scheduled to expire on March 31, 2029. The Company is not required to pay any termination fees or penalties in connection with the termination of the Lease. As a result of the lease modification, the Company remeasured the operating lease liability using the revised lease term. The adjustment to the related right-of-use asset was limited to its carrying amount, and the Company recognized a resulting gain of $1.0 million within operating expenses in the consolidated statement of operations and comprehensive income for the year ended December 31, 2025.</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obtained the right of use of another property also located in South San Francisco, California, in June 2015 that was scheduled to terminate on April 30, 2020, with a five-year extension option that the Company exercised in July 2019, extending the lease until April 30, 2025, which has been further extended until March 31, 2029, with an option to extend for an additional eight years. In September 2021, the Company executed a lease for a facility in South San Francisco, California, with an initial term expiring on March 31, 2029, with an option to extend for an additional eight years. This lease includes a component for tenant improvements that were substantially completed in the three months ended September 30, 2022, when the lease for this component was deemed to have commenced for accounting purposes. It also includes a component for which tenant improvements of $3.1 million were completed and were recorded within right-of-use assets in the consolidated balance sheets when they were substantially completed in the three months ended March 31, 2023. Further, the Company has the right of use of a facility located in South San Francisco, California, under a lease that terminates on March 30, 2029, with a five-year renewal option. On May 31, 2025, the leases of two facilities in Burlingame, California expired.</w:t>
      </w:r>
    </w:p>
    <w:p>
      <w:pPr>
        <w:spacing w:after="0" w:line="18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2025, the weighted average discount rate for operating leases with initial terms of more than one year was 10.1% and the weighted average remaining term of these leases was 3.0 years. Discount rates were determined using the Company’s marginal rate of borrowing at the time each lease was executed or extended.</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undiscounted cash payment obligations for its operating lease liabilities with initial terms of more than 12 months as of December 31, 2025 (in thousands):</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7736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2026</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5715</wp:posOffset>
            </wp:positionV>
            <wp:extent cx="427736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8"/>
          <w:szCs w:val="18"/>
          <w:color w:val="auto"/>
        </w:rPr>
        <w:t>2028</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14605</wp:posOffset>
            </wp:positionV>
            <wp:extent cx="427736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Undiscounted total</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14605</wp:posOffset>
            </wp:positionV>
            <wp:extent cx="427736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Present value of future minimum payments</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14605</wp:posOffset>
            </wp:positionV>
            <wp:extent cx="427736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25"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797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7" w:lineRule="exact"/>
        <w:rPr>
          <w:sz w:val="20"/>
          <w:szCs w:val="20"/>
          <w:color w:val="auto"/>
        </w:rPr>
      </w:pPr>
    </w:p>
    <w:p>
      <w:pPr>
        <w:ind w:left="760" w:hanging="75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3,651</w:t>
      </w:r>
    </w:p>
    <w:p>
      <w:pPr>
        <w:spacing w:after="0" w:line="22"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2,947</w:t>
      </w:r>
    </w:p>
    <w:p>
      <w:pPr>
        <w:spacing w:after="0" w:line="9"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3,050</w:t>
      </w:r>
    </w:p>
    <w:p>
      <w:pPr>
        <w:spacing w:after="0" w:line="9"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372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10,408</w:t>
      </w:r>
    </w:p>
    <w:p>
      <w:pPr>
        <w:spacing w:after="0" w:line="23"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(1,423)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797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8,985</w:t>
      </w:r>
    </w:p>
    <w:p>
      <w:pPr>
        <w:spacing w:after="0" w:line="23"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(2,978)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797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ind w:left="760" w:hanging="75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6,007</w:t>
      </w:r>
    </w:p>
    <w:p>
      <w:pPr>
        <w:sectPr>
          <w:pgSz w:w="11900" w:h="16838" w:orient="portrait"/>
          <w:cols w:equalWidth="0" w:num="2">
            <w:col w:w="7040" w:space="720"/>
            <w:col w:w="3480"/>
          </w:cols>
          <w:pgMar w:left="320" w:top="121"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is also required to pay for operating expenses related to the leased space, including common area maintenance, taxes and insurance. The operating expenses are incurred separately and were not included in the present value of lease payments. Operating lease expenses for years ended December 31 are summarized as follows (in thousands):</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90"/>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5" w:lineRule="exact"/>
        <w:rPr>
          <w:sz w:val="20"/>
          <w:szCs w:val="20"/>
          <w:color w:val="auto"/>
        </w:rPr>
      </w:pPr>
    </w:p>
    <w:p>
      <w:pPr>
        <w:ind w:left="760" w:hanging="428"/>
        <w:spacing w:after="0"/>
        <w:tabs>
          <w:tab w:leader="none" w:pos="76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2025, the Company had approximately $21.1 million of non-cancelable purchase commitments, principally for clinical services which are expected to be paid within the next year. Approximately $20.1 million of non-cancelable purchase commitments are attributable to a third-party vendor that provides clinical services, that is reimbursable at approximately $21.6 million under a cost-plus-fixed-fees arrangement in the ATI-RRPV Contract. In addition, the Company has operating lease commitments as detailed in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60" w:hanging="428"/>
        <w:spacing w:after="0"/>
        <w:tabs>
          <w:tab w:leader="none" w:pos="76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also entered into indemnification agreements with certain officers and directors which provide, among other things, that the Company will indemnify and advance expenses incurred in connection with certain actions, suits or proceedings to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 The Company currently has directors’ and officers’ insurance.</w:t>
      </w:r>
    </w:p>
    <w:p>
      <w:pPr>
        <w:spacing w:after="0" w:line="184" w:lineRule="exact"/>
        <w:rPr>
          <w:sz w:val="20"/>
          <w:szCs w:val="20"/>
          <w:color w:val="auto"/>
        </w:rPr>
      </w:pPr>
    </w:p>
    <w:p>
      <w:pPr>
        <w:ind w:left="760" w:hanging="428"/>
        <w:spacing w:after="0"/>
        <w:tabs>
          <w:tab w:leader="none" w:pos="76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From time to time the Company may be involved in legal proceedings arising in connection with its business. Based on information currently available, the Company believes that the amount, or range, of reasonably possible losses in connection with any pending actions against it in excess of established reserves, in the aggregate, is indeterminable to its consolidated financial condition or cash flows. However, any current or future dispute resolution or legal proceeding, regardless of the merits of any such proceeding, could result in substantial costs and a diversion of management’s attention and resources that are needed to run the Company successfully, and could have a material adverse impact on its business, financial condition and results of operations.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August and September 2020, two substantially similar securities class actions were filed in the U.S. District Court for the Northern District of California. The first action, titled </w:t>
      </w:r>
      <w:r>
        <w:rPr>
          <w:rFonts w:ascii="Times New Roman" w:cs="Times New Roman" w:eastAsia="Times New Roman" w:hAnsi="Times New Roman"/>
          <w:sz w:val="18"/>
          <w:szCs w:val="18"/>
          <w:i w:val="1"/>
          <w:iCs w:val="1"/>
          <w:u w:val="single" w:color="auto"/>
          <w:color w:val="auto"/>
        </w:rPr>
        <w:t>Himmelberg v. Vaxart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Inc. et 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filed on August 24, 2020. The second action, titled </w:t>
      </w:r>
      <w:r>
        <w:rPr>
          <w:rFonts w:ascii="Times New Roman" w:cs="Times New Roman" w:eastAsia="Times New Roman" w:hAnsi="Times New Roman"/>
          <w:sz w:val="18"/>
          <w:szCs w:val="18"/>
          <w:i w:val="1"/>
          <w:iCs w:val="1"/>
          <w:u w:val="single" w:color="auto"/>
          <w:color w:val="auto"/>
        </w:rPr>
        <w:t>Hovhannisyan v. Vaxart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Inc.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filed on September 1, 2020 (together, the “Putative Class Action”). By Order dated September 17, 2020, the two actions were deemed related.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9, 2020, the court appointed lead plaintiffs and lead plaintiffs’ counsel.</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January 29, 2021, lead plaintiffs filed their consolidated amended complaint. On July 8, 2021, all defendants moved to dismiss the consolidated amended complaint. On May 14, 2021, the court granted lead plaintiffs’ request to amend the consolidated amended complaint and denied defendants’ motions to dismiss as moot. On June 10, 2021, lead plaintiffs filed a first amended consolidated complaint, and on August 9, 2021, lead plaintiffs filed a corrected first amended consolidated complaint. The first amended consolidated complaint, as corrected, named certain of Vaxart’s current and former executive officers and directors, as well as Armistice Capital, LLC (“Armistice”), as defendants. It claimed three violations of federal civil securities laws; violation of Section 10(b) of the Exchange Act and SEC Rule 10b-5, as against the Company and all individual defendants; violation of Section 20(a) of the Exchange Act, as against Armistice and all individual defendants; and violation of Section 20A of the Exchange Act against</w:t>
      </w:r>
    </w:p>
    <w:p>
      <w:pPr>
        <w:spacing w:after="0" w:line="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Armistice. The first amended consolidated complaint, as corrected, alleged that the defendants violated securities laws by misstating and/or omitting information regarding the Company’s development of a norovirus vaccine, the vaccine manufacturing capabilities of a business counterparty, and the Company’s involvement with Operation Warp Speed (“OWS”); and by engaging in a scheme to inflate Vaxart’s stock price. The first amended consolidated complaint sought certification as a class action for similarly situated shareholders and sought, among other things, an unspecified amount of damages and attorneys’ fees and costs. On July 8, 2021, all defendants moved to dismiss the first amended consolidated complaint. By Order dated December 22, 2021, the court granted the motion to dismiss by Armistice with leave to amend and otherwise denied the motions to dismiss. On July 27, 2022, lead plaintiffs filed a notice announcing that they had reached a partial settlement (the “Partial Settlement”) to resolve all claims against the Company and its current or former officers and/or directors in their capacity as officers and/or directors of the Company (the “Settling Defendants”). Pursuant to the Partial Settlement, the Company agreed to a settlement amount of $12.0 million with $2.0 million to be paid by the Company and the remainder to be paid by the Company’s insurers. On November 2, 2022, the Company paid the $2.0 million settlement amount with respect to the Putative Class Action pursuant to the terms of the settlement agreement reached in that case. On November 14, 2022, lead plaintiffs filed a second amended consolidated class action complaint that purported to include new allegations to support claims against Armistice. By Orders dated January 25, 2023, the court approved the Partial Settlement and entered judgment dismissing with prejudice all claims asserted in the Putative Class Action against the Settling Defendants.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October 23, 2020, a complaint was filed in the U.S. District Court for the Southern District of New York, entitled </w:t>
      </w:r>
      <w:r>
        <w:rPr>
          <w:rFonts w:ascii="Times New Roman" w:cs="Times New Roman" w:eastAsia="Times New Roman" w:hAnsi="Times New Roman"/>
          <w:sz w:val="18"/>
          <w:szCs w:val="18"/>
          <w:i w:val="1"/>
          <w:iCs w:val="1"/>
          <w:u w:val="single" w:color="auto"/>
          <w:color w:val="auto"/>
        </w:rPr>
        <w:t>Roth v. Armistice Capital LLC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et</w:t>
      </w:r>
    </w:p>
    <w:p>
      <w:pPr>
        <w:spacing w:after="0" w:line="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complaint names Armistice and certain Armistice-related parties as defendants, asserting a violation of Exchange Act Section 16(b) and seeking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disgorgement of short-swing profits. The complaint purports to bring the lawsuit on behalf of and for the benefit of the Company and names the Company as a “nominal defendant” for whose benefit damages are sought. Following discovery, a motion for summary judgment was filed by Armistice and the Armistice-related party defendants to dismiss the complaint. On March 27, 2024, the court granted the motion for summary judgment and dismissed all claims in the complaint in their entirety. On April 11, 2024, the Plaintiff timely filed a notice of appeal of the court’s decision to the Second Circuit Court of Appeals, commencing appellate proceedings. In June 2024, Plaintiff filed a motion to the court of appeals to stay the appeal pending efforts to re-instate the complaint in the district court, which was granted by the court of appeals. In July 2024, Plaintiff filed a motion with the district court seeking to set aside the judgment and to re-instate the complaint. On August 15, 2024, the district court denied Plaintiff’s motion to set aside the judgment. On September 10, 2024, Plaintiff re-filed its appeal with the Second Circuit Court of Appeals. On August 28, 2025, the Second Circuit Court of Appeals denied Plaintiff’s appeal and affirmed the decision of the district court dismissing all claims in the complaint. Plaintiff’s time to appeal from that decision has expired and no further proceedings remain.</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 January 8, 2021, a purported shareholder, Phillip Chan, commenced a pro se lawsuit in the U.S. District Court for the Northern District of California titled </w:t>
      </w:r>
      <w:r>
        <w:rPr>
          <w:rFonts w:ascii="Times New Roman" w:cs="Times New Roman" w:eastAsia="Times New Roman" w:hAnsi="Times New Roman"/>
          <w:sz w:val="18"/>
          <w:szCs w:val="18"/>
          <w:i w:val="1"/>
          <w:iCs w:val="1"/>
          <w:u w:val="single" w:color="auto"/>
          <w:color w:val="auto"/>
        </w:rPr>
        <w:t>Chan v. Vaxart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Inc. et 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“Opt-Out Action”), opting out of the consolidated Himmelberg v. Vaxart, Inc. et al. and Hovhannisyan v. Vaxart, Inc. et al. class actions, (together, the “Putative Class Action”). Because this complaint is nearly identical to an earlier version of a complaint filed in the Putative Class Action, the Opt-Out Action has been stayed while the Putative Class Action is pending.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5" w:lineRule="exact"/>
        <w:rPr>
          <w:sz w:val="20"/>
          <w:szCs w:val="20"/>
          <w:color w:val="auto"/>
        </w:rPr>
      </w:pPr>
    </w:p>
    <w:p>
      <w:pPr>
        <w:ind w:left="760" w:hanging="428"/>
        <w:spacing w:after="0"/>
        <w:tabs>
          <w:tab w:leader="none" w:pos="76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authorized to issue 5,000,000 shares of preferred stock, $0.0001 par value per share. The Company’s board of directors may, without further action by the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deterring or preventing a change of control or other corporate action. No shares of preferred stock are currently outstanding, and the Company has no present plan to issue any shares of preferred stock.</w:t>
      </w:r>
    </w:p>
    <w:p>
      <w:pPr>
        <w:spacing w:after="0" w:line="188" w:lineRule="exact"/>
        <w:rPr>
          <w:sz w:val="20"/>
          <w:szCs w:val="20"/>
          <w:color w:val="auto"/>
        </w:rPr>
      </w:pPr>
    </w:p>
    <w:p>
      <w:pPr>
        <w:ind w:left="760" w:hanging="428"/>
        <w:spacing w:after="0"/>
        <w:tabs>
          <w:tab w:leader="none" w:pos="76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was authorized to issue 350,000,000 shares of common stock, $0.0001 par value per share, which includes an increase of 100,000,000 on June 11, 2024, when the Company’s stockholders approved an amendment to the Company’s certificate of incorporation to increase the number of authorized shares of common stock from 250,000,000 to 350,000,000 shares. Except as otherwise required by law or as otherwise provided in any certificate of designation for any series of preferred stock, the holders of common stock possess all voting power for the election of the Company’s directors and all other matters requiring stockholder action. Holders of common stock are entitled to one vote per share on matters to be voted on by stockholders. Holders of common stock are entitled to receive such dividends, if any, as may be declared from time to time by the Company’s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 As of December 31, 2025, no dividends had been declared by the board of directors.</w:t>
      </w:r>
    </w:p>
    <w:p>
      <w:pPr>
        <w:spacing w:after="0" w:line="18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November 2025, the Company entered into a Purchase Agreement with Dynavax (as defined in Note 1), pursuant to which 11,111,111 shares of the Company's common stock were sold to Dynavax at a price of $0.45 per share, resulting in gross proceeds of approximately $5.0 million, of which $0.8 million was determined to represent a premium and was allocated to deferred revenue.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Oppenheimer &amp; Co. Inc., relating to the issuance and sale by the Company in an underwritten registered direct offering of 50,000,000 shares of the Company’s common stock, at a price of $0.80 per share. The gross proceeds to the Company from such offering were $40.0 million, and after deducting the underwriting discounts and commissions and estimated offering expenses payable by the Company, the net proceeds were $37.5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2024, the Company entered into the 2024 Securities Purchase Agreement with RA Capital Healthcare Fund, L.P. pursuant</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which 15,384,615 shares of the Company's common stock were sold to RA Capital Healthcare Fund, L.P. at an offering price of $0.65 per share pursuant to the Company’s 2023 Shelf Registration. The gross proceeds from the 2024 Securities Purchase Agreement were $10.0 million and, after deducting offering expenses, the net proceeds were $9.9 million.</w:t>
      </w:r>
    </w:p>
    <w:p>
      <w:pPr>
        <w:spacing w:after="0" w:line="18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the event of the Company’s voluntary or involuntary liquidation, dissolution, distribution of assets or winding-up, the holders of the common stock will be entitled to receive an equal amount per share of all the Company’s assets of whatever kind available for distribution to stockholders, after the rights of the holders of the preferred stock have been satisfied. There are no sinking fund provisions applicable to the common stock.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shares of common stock reserved for issuance as follows:</w:t>
      </w:r>
    </w:p>
    <w:p>
      <w:pPr>
        <w:spacing w:after="0" w:line="241"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4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25,407,299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20,405,239</w:t>
            </w:r>
          </w:p>
        </w:tc>
      </w:tr>
      <w:tr>
        <w:trPr>
          <w:trHeight w:val="216"/>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issued and outstanding</w:t>
            </w: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5,733,306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3,016,481</w:t>
            </w:r>
          </w:p>
        </w:tc>
      </w:tr>
      <w:tr>
        <w:trPr>
          <w:trHeight w:val="21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available for future grant</w:t>
            </w:r>
          </w:p>
        </w:tc>
        <w:tc>
          <w:tcPr>
            <w:tcW w:w="1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10,831,860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18,046,374</w:t>
            </w:r>
          </w:p>
        </w:tc>
      </w:tr>
      <w:tr>
        <w:trPr>
          <w:trHeight w:val="216"/>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Award Plan available for future grant</w:t>
            </w: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1,603,750</w:t>
            </w: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10,914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140,596</w:t>
            </w:r>
          </w:p>
        </w:tc>
      </w:tr>
      <w:tr>
        <w:trPr>
          <w:trHeight w:val="216"/>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1,823,454</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2,362,902</w:t>
            </w:r>
          </w:p>
        </w:tc>
      </w:tr>
      <w:tr>
        <w:trPr>
          <w:trHeight w:val="249"/>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43,850,083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45,575,342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approved increase of reserved common stock for 2019 Equity Incentive Plan and 2022 Employee Stock Purchase Plan is detailed in </w:t>
      </w:r>
      <w:r>
        <w:rPr>
          <w:rFonts w:ascii="Times New Roman" w:cs="Times New Roman" w:eastAsia="Times New Roman" w:hAnsi="Times New Roman"/>
          <w:sz w:val="18"/>
          <w:szCs w:val="18"/>
          <w:u w:val="single" w:color="auto"/>
          <w:color w:val="0000EE"/>
        </w:rPr>
        <w:t>Note 10</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760" w:hanging="428"/>
        <w:spacing w:after="0"/>
        <w:tabs>
          <w:tab w:leader="none" w:pos="76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February 2025 and March 2025, 100,532 and 29,150, respectively, of the warrants outstanding as of December 31, 2024, expired unexercised. The following 10,914 warrants for common stock were outstanding as of December 31, 2025, all of which contain standard anti-dilution protections in the event of subsequent rights offerings, stock splits, stock dividends or other extraordinary dividends, or other similar changes in the Company’s common stock or capital structure, and none of which have any participating rights for any losses:</w:t>
      </w:r>
    </w:p>
    <w:p>
      <w:pPr>
        <w:spacing w:after="0" w:line="211"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4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Securities into which warrants are convertible</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rPr>
              <w:t>Warrants outstanding</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Exercise Price</w:t>
            </w:r>
          </w:p>
        </w:tc>
        <w:tc>
          <w:tcPr>
            <w:tcW w:w="80" w:type="dxa"/>
            <w:vAlign w:val="bottom"/>
          </w:tcPr>
          <w:p>
            <w:pPr>
              <w:spacing w:after="0"/>
              <w:rPr>
                <w:sz w:val="18"/>
                <w:szCs w:val="18"/>
                <w:color w:val="auto"/>
              </w:rPr>
            </w:pPr>
          </w:p>
        </w:tc>
        <w:tc>
          <w:tcPr>
            <w:tcW w:w="1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Expiration Date</w:t>
            </w:r>
          </w:p>
        </w:tc>
      </w:tr>
      <w:tr>
        <w:trPr>
          <w:trHeight w:val="213"/>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10,914</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Borders>
              <w:bottom w:val="single" w:sz="8" w:color="CCEEFF"/>
            </w:tcBorders>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22.99 December 2026</w:t>
            </w: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10,914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Incentive Plans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April 23, 2019, the Company’s stockholders approved the adoption of the 2019 Equity Incentive Plan (the “2019 Plan”), under which the Company is authorized to issue incentive stock options, nonqualified stock options, stock appreciation rights, restricted stock awards, restricted stock units (“RSUs”), other stock awards and performance awards that may be settled in cash, stock, or other property. The 2019 Plan is designed to secure and retain the services of employees, directors and consultants, provide incentives for the Company’s employees, directors and consultants to exert maximum efforts for the success of the Company and its affiliates, and provide a means by which employees, directors and consultants may be given an opportunity to benefit from increases in the value of the Company’s common stock. Following adoption of the 2019 Plan, all previous plans were frozen, and on forfeiture, cancellation and expiration, awards under those plans are not assumed by the 2019 Plan.</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issuance under the 2019 Plan was initially 1,600,000 shares, which was increased through an amendment to the 2019 Plan adopted by the Company’s stockholders (a “Plan Amendment”) on June 8, 2020, to 8,000,000, by a Plan Amendment on June 16, 2021, to 16,900,000, by a Plan Amendment on August 4, 2022, to 28,900,000, and by a Plan Amendment on June 11, 2024, to 43,900,000. Further amendments to the 2019 Plan to increase the share reserve would require stockholder approval. Awards that are forfeited or canceled generally become available for issuance again under the 2019 Plan. Awards have a maximum term of ten years from the grant date and may vest over varying periods, as specified by the Company’s board of directors for each grant.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27, 2024, the Company’s board of directors adopted the Vaxart, Inc. 2024 Inducement Award Plan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“2024 Inducement Plan”). The 2024 Inducement Plan was adopted without stockholder approval pursuant to Nasdaq Listing Rule 5635(c)(4) and is administered by the Compensation Committee of the board of directors or the independent members of the board of directors. The board of directors reserved 3,000,000 shares of the Company’s common stock for issuance under the 2024 Inducement Plan, subject to adjustment as provided in the plan document. The terms of the 2024 Inducement Plan are substantially similar to the terms of the 2019 Plan, with the exception that incentive stock options may not be issued under the 2024 Inducement Plan and equity awards under the 2024 Inducement Plan (including nonqualified stock options, restricted stock, restricted stock units, and other stock-based awards) may be issued only to an employee who is commencing employment with the Company or any subsidiary or who is being rehired following a bona fide interruption of employment by the Company or any subsidiary, in either case if he or she is granted such award in connection with his or her commencement of employment and such grant is an inducement material to his or her entering into employment with the Company or such subsidiary.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gridSpan w:val="10"/>
          </w:tcPr>
          <w:p>
            <w:pPr>
              <w:jc w:val="right"/>
              <w:ind w:right="430"/>
              <w:spacing w:after="0"/>
              <w:rPr>
                <w:sz w:val="20"/>
                <w:szCs w:val="20"/>
                <w:color w:val="auto"/>
              </w:rPr>
            </w:pPr>
            <w:r>
              <w:rPr>
                <w:rFonts w:ascii="Times New Roman" w:cs="Times New Roman" w:eastAsia="Times New Roman" w:hAnsi="Times New Roman"/>
                <w:sz w:val="18"/>
                <w:szCs w:val="18"/>
                <w:color w:val="auto"/>
                <w:w w:val="99"/>
              </w:rPr>
              <w:t>A summary of stock option and RSU transactions for the years ended December 31, 2025 and 2024 are as follows: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 Average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RSU Average</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For Grant</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5,685,806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17,938,726</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2,126,373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Authorized under 2024</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 Plan</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0" w:type="dxa"/>
            <w:vAlign w:val="bottom"/>
          </w:tcPr>
          <w:p>
            <w:pPr>
              <w:spacing w:after="0"/>
              <w:rPr>
                <w:sz w:val="17"/>
                <w:szCs w:val="17"/>
                <w:color w:val="auto"/>
              </w:rPr>
            </w:pPr>
          </w:p>
        </w:tc>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Authorized under 2019 Plan</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(7,258,980)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5,309,437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1,949,543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(599,260)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1,944,001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(1,483,826)</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(460,175)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1,279,297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(1,321,068)</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60" w:type="dxa"/>
            <w:vAlign w:val="bottom"/>
          </w:tcPr>
          <w:p>
            <w:pPr>
              <w:spacing w:after="0"/>
              <w:rPr>
                <w:sz w:val="16"/>
                <w:szCs w:val="16"/>
                <w:color w:val="auto"/>
              </w:rPr>
            </w:pPr>
          </w:p>
        </w:tc>
        <w:tc>
          <w:tcPr>
            <w:tcW w:w="2500" w:type="dxa"/>
            <w:vAlign w:val="bottom"/>
            <w:tcBorders>
              <w:top w:val="single" w:sz="8" w:color="CCEEFF"/>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rPr>
              <w:t>Balance at December 31,</w:t>
            </w: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34"/>
        </w:trPr>
        <w:tc>
          <w:tcPr>
            <w:tcW w:w="31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2024</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19,650,124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20,405,239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3,016,481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(12,969,746)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8,281,792</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4,687,954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Released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(1,041,423)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2,781,683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(1,851,977)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(929,706)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0.83</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1,413,049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(1,424,130)</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10,875,110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25,407,299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5,733,306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660" w:type="dxa"/>
            <w:vAlign w:val="bottom"/>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25,407,299 options outstanding with a weighted average exercise price of $1.96, a weighted average remaining term of 7.28 years, and an aggregate intrinsic value of $4,000. Of these options, 14,808,497 were vested, with a weighted average exercise price of $2.84, a weighted average remaining term of 6.16 years, and an aggregate intrinsic value of $4,000.</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received $3,000 for the 3,625 options exercised in the year ended December 31, 2025, which had a minimal intrinsic value. The aggregate intrinsic value represents the total pre-tax value (i.e., the difference between the Company’s stock price and the exercise price) of stock options outstanding as of December 31, 2025, based on the Company’s common stock closing price of $0.35 on December 31, 2025, which would have been received by the option holders had all their in-the-money options been exercised as of that date. The Company received $30,000 for the 38,030 options exercised in the year ended December 31, 2024, which had an intrinsic value of $7,000.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awarded in the years ended December 31, 2025 and 2024, was $0.47 and $1.01, respectively. Fair values were estimated using the following assumptions: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640" w:type="dxa"/>
            <w:vAlign w:val="bottom"/>
          </w:tcPr>
          <w:p>
            <w:pPr>
              <w:spacing w:after="0"/>
              <w:rPr>
                <w:sz w:val="18"/>
                <w:szCs w:val="18"/>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6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 - 4.4%</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- 4.4%</w:t>
            </w:r>
          </w:p>
        </w:tc>
      </w:tr>
      <w:tr>
        <w:trPr>
          <w:trHeight w:val="196"/>
        </w:trPr>
        <w:tc>
          <w:tcPr>
            <w:tcW w:w="5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Expected term (in years)</w:t>
            </w:r>
          </w:p>
        </w:tc>
        <w:tc>
          <w:tcPr>
            <w:tcW w:w="16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5.50 - 6.00</w:t>
            </w:r>
          </w:p>
        </w:tc>
        <w:tc>
          <w:tcPr>
            <w:tcW w:w="1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5.50 - 6.00</w:t>
            </w:r>
          </w:p>
        </w:tc>
      </w:tr>
      <w:tr>
        <w:trPr>
          <w:trHeight w:val="20"/>
        </w:trPr>
        <w:tc>
          <w:tcPr>
            <w:tcW w:w="56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125.6% - 128.6%</w:t>
            </w:r>
          </w:p>
        </w:tc>
        <w:tc>
          <w:tcPr>
            <w:tcW w:w="1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128.9% - 130.8%</w:t>
            </w:r>
          </w:p>
        </w:tc>
      </w:tr>
      <w:tr>
        <w:trPr>
          <w:trHeight w:val="197"/>
        </w:trPr>
        <w:tc>
          <w:tcPr>
            <w:tcW w:w="5640" w:type="dxa"/>
            <w:vAlign w:val="bottom"/>
            <w:tcBorders>
              <w:top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6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all stock-based awards on the grant date and records the fair value of these awards, net of estimated forfeitures, to compensation expense over the service period. Total stock-based compensation recognized for options, RSUs and ESPP was as follows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8"/>
                <w:szCs w:val="18"/>
                <w:color w:val="auto"/>
              </w:rPr>
            </w:pPr>
          </w:p>
        </w:tc>
      </w:tr>
      <w:tr>
        <w:trPr>
          <w:trHeight w:val="209"/>
        </w:trPr>
        <w:tc>
          <w:tcPr>
            <w:tcW w:w="56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49"/>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2025, the unrecognized stock-based compensation cost related to outstanding unvested stock options and RSUs expected to vest was $9.2 million, which the Company expects to recognize over an estimated weighted average period of 2.4 years.</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August 4, 2022, the 2022 Employee Stock Purchase Plan (the “2022 ESPP”) was approved by the Company’s stockholders. The Company initially reserved 1,800,000 shares of the Company’s common stock for purchase under the 2022 ESPP, which was increased by 1,800,000 shares through an amendment to the 2022 ESPP adopted by the Company’s stockholders on June 11, 2024, to 3,600,000 shares. The 2022 ESPP generally has a six-month offering period comprised of one purchase period. In May 2024, the 2022 ESPP had a one-time modification following the end of the six-month offering period ended May 31, 2024, to commence the follow-on offering period on July 1, 2024 for a five-month offering period. The purchase price of the stock is equal to 85% of the lesser of the market value of such shares at the beginning of the six-month offering period or the end of such offering period. During the year ended December 31, 2025, the Company received $0.2 million and issued 539,448 treasury shares under the 2022 ESPP. During the year ended December 31, 2024, the Company received $0.5 million and issued 782,939 shares under the 2022 ESPP. As of December 31, 2025, 1,823,454 shares are available and reserved for future issuance under the 2022 ESPP.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related to the ESPP was $0.2 million for each of the years ended December 31,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Benefit Plan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a tax-qualified employee savings and retirement plan commonly known as a 401(k) plan (the “Plan”), which covers the Company’s eligible employees. Pursuant to the Plan, employees may elect to defer their current compensation up to the IRS annual contribution limit of $23,500 for calendar year 2025 and $23,000 for calendar year 2024. Employees age 50 or over may elect to contribute an additional $7,500 annually for 2025 and 2024.</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Employees direct their contributions, which vest immediately, across a series of mutual funds. In the years ended December 31, 2025 and 2024, the Company matched employee contributions up to 3% of each employee’s eligible earnings, vesting immediately. The Company’s matching contributions totaled $0.5 million for each of the years ended December 31, 2025 and 2024. The costs of administering the Plan totaled $30,000 and $38,000 in the years ended December 31, 2025 and 2024,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worldwide pretax earnings by United States and foreign jurisdictions consist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6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14,703</w:t>
            </w:r>
          </w:p>
        </w:tc>
        <w:tc>
          <w:tcPr>
            <w:tcW w:w="10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(67,489)</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worldwide pretax earnings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56" w:lineRule="exact"/>
              <w:rPr>
                <w:sz w:val="20"/>
                <w:szCs w:val="20"/>
                <w:color w:val="auto"/>
              </w:rPr>
            </w:pPr>
            <w:r>
              <w:rPr>
                <w:rFonts w:ascii="Times New Roman" w:cs="Times New Roman" w:eastAsia="Times New Roman" w:hAnsi="Times New Roman"/>
                <w:sz w:val="16"/>
                <w:szCs w:val="16"/>
                <w:color w:val="auto"/>
              </w:rPr>
              <w:t>(66,688</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5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 of significant items comprising deferred tax assets are as follows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54,574</w:t>
            </w:r>
          </w:p>
        </w:tc>
        <w:tc>
          <w:tcPr>
            <w:tcW w:w="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future royalties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reserves and other</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16"/>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1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100,532</w:t>
            </w:r>
          </w:p>
        </w:tc>
      </w:tr>
      <w:tr>
        <w:trPr>
          <w:trHeight w:val="216"/>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(100,494)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(94,119)</w:t>
            </w:r>
          </w:p>
        </w:tc>
      </w:tr>
      <w:tr>
        <w:trPr>
          <w:trHeight w:val="209"/>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5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r>
      <w:tr>
        <w:trPr>
          <w:trHeight w:val="209"/>
        </w:trPr>
        <w:tc>
          <w:tcPr>
            <w:tcW w:w="5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deferred tax assets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0139"/>
          </w:cols>
          <w:pgMar w:left="320" w:top="121" w:right="1440" w:bottom="1440" w:gutter="0" w:footer="0" w:header="0"/>
        </w:sectPr>
      </w:pPr>
    </w:p>
    <w:p>
      <w:pPr>
        <w:ind w:left="548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2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As further described in Recently Adopted Accounting Pronouncements in Note 2, we have elected to prospectively adopt the guidance in ASU 2023-09, </w:t>
      </w:r>
      <w:r>
        <w:rPr>
          <w:rFonts w:ascii="Times New Roman" w:cs="Times New Roman" w:eastAsia="Times New Roman" w:hAnsi="Times New Roman"/>
          <w:sz w:val="18"/>
          <w:szCs w:val="18"/>
          <w:i w:val="1"/>
          <w:iCs w:val="1"/>
          <w:color w:val="auto"/>
        </w:rPr>
        <w:t>Income Taxes (Topic 740): Improvements to Income Tax Disclosures.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Companies can adopt the new requirements prospectively without revisions of comparative period disclosures but the income tax footnote disclosures in the year of adoption would not be comparable (2025 disclosures would follow the new requirements of ASU 2023-09, while the comparative-period disclosures of 2024 would follow the current disclosure requirements in ASC 740-50 and related SEC requirements). To maintain comparability, retroactive application to comparative-period disclosures is allowed. The Company is electing to report the new requirements using the prospective method.</w:t>
      </w:r>
    </w:p>
    <w:p>
      <w:pPr>
        <w:spacing w:after="0" w:line="180"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The following table is a reconciliation of the provision for income taxes with the expected provision for income taxes computed by applying the federal statutory income tax rate of 21% to the net income (loss) before provision for income taxes in accordance with ASU 2023-09, as follows (in thousands):</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3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3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3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40" w:type="dxa"/>
            <w:vAlign w:val="bottom"/>
          </w:tcPr>
          <w:p>
            <w:pPr>
              <w:spacing w:after="0"/>
              <w:rPr>
                <w:sz w:val="18"/>
                <w:szCs w:val="18"/>
                <w:color w:val="auto"/>
              </w:rPr>
            </w:pPr>
          </w:p>
        </w:tc>
        <w:tc>
          <w:tcPr>
            <w:tcW w:w="236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(17.4)</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true-up</w:t>
            </w:r>
          </w:p>
        </w:tc>
        <w:tc>
          <w:tcPr>
            <w:tcW w:w="34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w:t>
            </w:r>
          </w:p>
        </w:tc>
      </w:tr>
      <w:tr>
        <w:trPr>
          <w:trHeight w:val="210"/>
        </w:trPr>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43"/>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3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actual tax expense differed from the statutory federal income tax expense using a tax rate of 21% for the years ended December 31, 2025 and 2024, respectively, primarily due to foreign income taxes being taxed at different rates, non-deductible expenses, research and development tax credits, and the change in valuation allowance.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net operating loss (“NOL”) carryforwards of $254.0 million and $221.1 million for federal purposes, and $18.9 million and $8.9 million for state purposes, respectively. If not utilized, federal net operating losses of $1.7 million will begin to expire in</w:t>
      </w:r>
    </w:p>
    <w:p>
      <w:pPr>
        <w:ind w:right="200"/>
        <w:spacing w:after="0" w:line="260" w:lineRule="auto"/>
        <w:rPr>
          <w:sz w:val="20"/>
          <w:szCs w:val="20"/>
          <w:color w:val="auto"/>
        </w:rPr>
      </w:pPr>
      <w:r>
        <w:rPr>
          <w:rFonts w:ascii="Times New Roman" w:cs="Times New Roman" w:eastAsia="Times New Roman" w:hAnsi="Times New Roman"/>
          <w:sz w:val="18"/>
          <w:szCs w:val="18"/>
          <w:color w:val="auto"/>
        </w:rPr>
        <w:t>2026 and $252.3 million will be carried forward indefinitely; state net operating losses of $7.3 million will begin to expire in 2028 and $11.6 million will be carried forward indefinitely.</w:t>
      </w:r>
    </w:p>
    <w:p>
      <w:pPr>
        <w:spacing w:after="0" w:line="1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also has accumulated tax losses of $0.5 million for Australia available for carryforward against future earnings, which under relevant tax laws do not expire but may not be available under certain circumstances.</w:t>
      </w:r>
    </w:p>
    <w:p>
      <w:pPr>
        <w:spacing w:after="0" w:line="16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research and development tax credit carryforwards for federal purposes of $24.3 million and $12.8 million, respectively, and state research and development tax credit carryforwards of $11.3 million and $10.0 million, respectively. The federal research and development tax credit carryforwards will expire at various dates between 2039 and 2045. The state research and development tax credit carryforwards do not expire.</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Beginning on January 1, 2022, the Tax Cuts and Jobs Act (“the Act”), enacted in December 2017, eliminated the option to deduct research and development expenditures in the current period and requires taxpayers to capitalize and amortize U.S.-based and non-U.S. based research and development expenditures over five and fifteen years, respectively. However, the enactment of the bipartisan OBBB Act, signed into law in July 2025, repeals the mandatory capitalization requirement for domestic R&amp;D expenditures for tax years beginning after December 31, 2024. As a result, beginning with the 2025 tax year, domestic R&amp;D expenses are once again eligible for immediate deduction in the year incurred, while costs related to foreign R&amp;D activities remain subject to 15-year amortization under Section 174. The Company elects to amortize any remaining unamortized amount with respect to the domestic R&amp;D expenditures capitalized over the past few years ratably over the 2-taxable year period beginning with the first taxable year beginning after December 31, 2024. This legislation does not impact the Company's current tax obligations.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Sections 382 and 383 of the Internal Revenue Code provide for a limitation on the annual use of NOL and tax credit carryforwards following certain ownership changes that could limit the Company’s ability to utilize these carryforwards. The Company has completed an analysis to determine if such ownership changes have occurred and concluded it was more likely than not that there were changes in ownership. Due to the existence of a full valuation allowance, limitations under Section 382 and 383 will not impact the Company’s effective tax rate. Further analyses will be performed prior to recognizing the benefits of any losses or credits in the consolidated financial statements.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2025 and 2024. The net change in total valuation allowance was an increase of approximately $6.4 million and $11.6 million for the years ended December 31, 2025 and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paid for income taxes (net of refunds) during the year was as follows (in dollars):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California Extension</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Massachusetts Extension</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Refund</w:t>
            </w:r>
          </w:p>
        </w:tc>
        <w:tc>
          <w:tcPr>
            <w:tcW w:w="3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State and Local</w:t>
            </w:r>
          </w:p>
        </w:tc>
        <w:tc>
          <w:tcPr>
            <w:tcW w:w="38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 Tax on Daiichi Royalty</w:t>
            </w:r>
          </w:p>
        </w:tc>
        <w:tc>
          <w:tcPr>
            <w:tcW w:w="3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96,464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Foreign</w:t>
            </w:r>
          </w:p>
        </w:tc>
        <w:tc>
          <w:tcPr>
            <w:tcW w:w="38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96,464</w:t>
            </w:r>
          </w:p>
        </w:tc>
        <w:tc>
          <w:tcPr>
            <w:tcW w:w="8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Taxes Paid</w:t>
            </w:r>
          </w:p>
        </w:tc>
        <w:tc>
          <w:tcPr>
            <w:tcW w:w="3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98,989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0" w:type="dxa"/>
            <w:vAlign w:val="bottom"/>
            <w:vMerge w:val="restart"/>
          </w:tcPr>
          <w:p>
            <w:pPr>
              <w:jc w:val="right"/>
              <w:ind w:right="265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each year, the state and local income taxes which comprise the majority of the state and local income taxes, net of federal effect category were as follows (in dollars):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20" w:type="dxa"/>
            <w:vAlign w:val="bottom"/>
            <w:tcBorders>
              <w:bottom w:val="single" w:sz="8" w:color="auto"/>
            </w:tcBorders>
          </w:tcPr>
          <w:p>
            <w:pPr>
              <w:spacing w:after="0"/>
              <w:rPr>
                <w:sz w:val="20"/>
                <w:szCs w:val="20"/>
                <w:color w:val="auto"/>
              </w:rPr>
            </w:pPr>
          </w:p>
        </w:tc>
      </w:tr>
      <w:tr>
        <w:trPr>
          <w:trHeight w:val="209"/>
        </w:trPr>
        <w:tc>
          <w:tcPr>
            <w:tcW w:w="5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09"/>
        </w:trPr>
        <w:tc>
          <w:tcPr>
            <w:tcW w:w="56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1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records unrecognized tax benefits, where appropriate, for all uncertain income tax positions. The Company recorded unrecognized tax benefits for uncertain tax positions of approximately $13.6 million and $8.5 million as of December 31, 2025 and 2024, respectively, of which none would impact the effective tax rate, if recognized, because the benefit would be offset by an increase in the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total unrecognized tax benefits is as follows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09"/>
        </w:trPr>
        <w:tc>
          <w:tcPr>
            <w:tcW w:w="5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5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6"/>
        </w:trPr>
        <w:tc>
          <w:tcPr>
            <w:tcW w:w="5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accrued on any unrecognized tax benefits as a component of income tax expense. During the years ended December 31, 2025 and 2024, the Company recognized no interest and penalties associated with unrecognized tax benefits. There are no tax positions for which it is reasonably possible that the total amounts of unrecognized tax benefits will significantly increase or decrease within twelve months of the reporting date.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Australia, as well as with various U.S. states. The Company is subject to tax audits in all jurisdictions in which it files income tax returns. Tax audits by their very nature are often complex and can require several years to complete. There are currently no tax audits that have commenced with respect to income tax returns in any jurisdiction.</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tax statute of limitations applicable to the Internal Revenue Code, the Company and its U.S. subsidiary, either standalone or as part of the consolidated group, is no longer subject to U.S. federal income tax examinations by the Internal Revenue Service for tax years before tax year 2021. Under the statute of limitations applicable to most state income tax laws, the Company is no longer subject to state income tax examinations by tax authorities for tax year before 2020 in states in which it has filed income tax returns. However, because the Company is carrying forward income tax attributes, such as net operating losses and tax credits from 2005 and earlier tax years, these attributes can still be audited when utilized on returns filed in the future. The Company is subject to foreign tax examinations by tax authorities for fiscal year 2021 and forward.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Income (Loss) Per Share Attributable to Common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weighted-average number of shares of our common stock outstanding.</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calculation of diluted net income (loss) per share, net income for basic net income per share is adjusted by the effect of dilutive securities, including awards under our equity compensation plans. Diluted net income (loss) per share is computed by dividing net income by the weighted-average number of fully diluted common shares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(in thousands, except share and per share amounts):</w:t>
      </w:r>
    </w:p>
    <w:p>
      <w:pPr>
        <w:spacing w:after="0" w:line="22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19685</wp:posOffset>
            </wp:positionV>
            <wp:extent cx="20999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1" w:lineRule="exact"/>
        <w:rPr>
          <w:sz w:val="20"/>
          <w:szCs w:val="20"/>
          <w:color w:val="auto"/>
        </w:rPr>
      </w:pPr>
    </w:p>
    <w:p>
      <w:pPr>
        <w:ind w:left="7400"/>
        <w:spacing w:after="0"/>
        <w:tabs>
          <w:tab w:leader="none" w:pos="90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0999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3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16,327</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to compute net income (loss) per share, basic</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230,269,605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202,137,531</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76,596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568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230,346,201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202,137,531</w:t>
            </w:r>
          </w:p>
        </w:tc>
        <w:tc>
          <w:tcPr>
            <w:tcW w:w="0" w:type="dxa"/>
            <w:vAlign w:val="bottom"/>
          </w:tcPr>
          <w:p>
            <w:pPr>
              <w:spacing w:after="0"/>
              <w:rPr>
                <w:sz w:val="1"/>
                <w:szCs w:val="1"/>
                <w:color w:val="auto"/>
              </w:rPr>
            </w:pPr>
          </w:p>
        </w:tc>
      </w:tr>
      <w:tr>
        <w:trPr>
          <w:trHeight w:val="194"/>
        </w:trPr>
        <w:tc>
          <w:tcPr>
            <w:tcW w:w="568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34"/>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 adjustment has been made to the net income (loss) in the years ended December 31, 2025 and 2024, as the effect would be anti-dilutive due to the net loss.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weighted average securities were excluded from the computation of weighted average shares outstanding because they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6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24,809,770</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20,659,336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to purchase common stock</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5,182,676</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2,828,395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158,262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335,190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5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potentially dilutive securities excluded from denominator of the diluted</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30,003,360</w:t>
            </w:r>
          </w:p>
        </w:tc>
        <w:tc>
          <w:tcPr>
            <w:tcW w:w="1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23,981,183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57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earnings per share computation</w:t>
            </w:r>
          </w:p>
        </w:tc>
        <w:tc>
          <w:tcPr>
            <w:tcW w:w="16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720" w:type="dxa"/>
            <w:vAlign w:val="bottom"/>
            <w:vMerge w:val="restart"/>
          </w:tcPr>
          <w:p>
            <w:pPr>
              <w:ind w:left="4360"/>
              <w:spacing w:after="0"/>
              <w:rPr>
                <w:sz w:val="20"/>
                <w:szCs w:val="20"/>
                <w:color w:val="auto"/>
              </w:rPr>
            </w:pPr>
            <w:r>
              <w:rPr>
                <w:rFonts w:ascii="Times New Roman" w:cs="Times New Roman" w:eastAsia="Times New Roman" w:hAnsi="Times New Roman"/>
                <w:sz w:val="18"/>
                <w:szCs w:val="18"/>
                <w:color w:val="auto"/>
              </w:rPr>
              <w:t>130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7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which is the discovery and development of oral recombinant protein vaccines, based on its proprietary oral vaccine platform. The accounting policies of the segment are the same as those described in the summary of significant accounting policies. The determination of a single business segment is consistent with the consolidated financial information regularly reviewed by the Chief Executive Officer as chief operating decision maker (the “CODM”) in assessing segment performance and deciding how to allocate resources on a consolidated basis.</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CODM uses consolidated net income (loss) to evaluate the Company's spend and monitor budget versus actual results. The monitoring of budgeted versus actual results is used in assessing performance of the segment and in establishing resource allocation across the organization. The measure of segment assets is reported on the consolidated balance sheets as total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revenue, segment loss, significant segment expenses, and other segment items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237,258</w:t>
            </w:r>
          </w:p>
        </w:tc>
        <w:tc>
          <w:tcPr>
            <w:tcW w:w="10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External program costs: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Norovirus program</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r>
      <w:tr>
        <w:trPr>
          <w:trHeight w:val="216"/>
        </w:trPr>
        <w:tc>
          <w:tcPr>
            <w:tcW w:w="5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COVID-19 program</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155,049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w:t>
            </w:r>
          </w:p>
        </w:tc>
      </w:tr>
      <w:tr>
        <w:trPr>
          <w:trHeight w:val="216"/>
        </w:trPr>
        <w:tc>
          <w:tcPr>
            <w:tcW w:w="5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programs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Preclinical research</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16"/>
        </w:trPr>
        <w:tc>
          <w:tcPr>
            <w:tcW w:w="5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Process Development</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51,940</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20,780</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r>
      <w:tr>
        <w:trPr>
          <w:trHeight w:val="216"/>
        </w:trPr>
        <w:tc>
          <w:tcPr>
            <w:tcW w:w="56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5"/>
                <w:szCs w:val="25"/>
                <w:color w:val="auto"/>
                <w:vertAlign w:val="superscript"/>
              </w:rPr>
              <w:t>(A)</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(66,948)</w:t>
            </w:r>
          </w:p>
        </w:tc>
      </w:tr>
      <w:tr>
        <w:trPr>
          <w:trHeight w:val="20"/>
        </w:trPr>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net income (loss)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(66,948)</w:t>
            </w: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 Other segment items included in other income (expense), net.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Acquisition of Dynavax</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23, 2025, Sanofi, a French société anonyme, entered into an Agreement and Plan of Merger with Dynavax Technologies Corporation (“Dynavax”), pursuant to which Sanofi agreed to acquire all outstanding shares of Dynavax common stock for $15.50 per share in cash, reflecting a total equity value of approximately $2.2 billion. On January 12, 2026, Sanofi commenced a tender offer to acquire all outstanding shares of Dynavax. The tender offer expired on February 9, 2026, at which time approximately 73.92% of Dynavax’s outstanding shares were validly tendered. On February 10, 2026, Sanofi completed the acquisition through a merger in which Dynavax became an indirect wholly owned subsidiary of Sanofi.</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disclosed in Note 5, the Company entered into the 2025 License and Collaboration Agreement with Dynavax on November 4, 2025. Pursuant to the terms of the 2025 License and Collaboration Agreement, the agreement permits assignment without the Company’s consent in connection with a change of control involving the transfer or sale of substantially all of a party’s business related to the licensed products. Accordingly, upon completion of the Sanofi acquisition, the rights and obligations under the 2025 License and Collaboration Agreement were assigned to or assumed by Sanofi (or its affiliates) as the successor to Dynavax. In addition, the 2025 License and Collaboration Agreement provides Dynavax (or its successor) with the right to terminate the agreement for any reason upon 90 days’ prior written notice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of 2024 ATI-RRPV Contract</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March 10, 2026, the Company entered into Modification No. 6 (the “Modification”) to the ATI-RRPV Project Award Agreement No. 001, dated June 13, 2024 (the “Project Agreement”), with Advanced Technology International, the Rapid Response Partnership Vehicle’s Consortium Management Firm funded by BARDA of the U.S. Department of Health and Human Services. As previously disclosed, pursuant to the Project Agreement, the Company received funding to conduct a Phase 2b comparative study (the “Trial”) evaluating the Company’s oral pill COVID-19 vaccine candidate against an mRNA vaccine comparator approved by the U.S. Food and Drug Administration. The Company previously announced that it had completed enrollment of the sentinel cohort portion of the study comprising approximately 400 participants comparing its oral pill XBB candidate against an mRNA XBB comparator and an independent data safety monitoring board recommended the study to proceed without modifications based on initial safety assessment of 30-day data from the sentinel cohort.</w:t>
      </w:r>
    </w:p>
    <w:p>
      <w:pPr>
        <w:spacing w:after="0" w:line="19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Modification increased the total amount of funding currently allotted to the Trial and available for payment to approximately $316.0 million. The Company anticipates a further modification to the 2024 ATI-RRPV Contract that will reflect the reduced scope of work and corresponding reduction in funding that resulted from previously issued stop work orders.</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accounting and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Vaxart have been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the Exchange Act Rules 13a-15(f). 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 Integrated Framework (2013) issued by the Committee of Sponsoring Organizations of the Treadway Commission. Based on the results of our assessment under the framework in the Internal Control—Integrated Framework (2013), our management concluded that our internal control over financial reporting was effective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2025, that have materially affected, or are reasonably likely to materially affect, our internal control over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 and Financial Statement Schedules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Financial Statements (see “Financial Statements and Supplementary Data” at Item 8 and incorporated herein by reference).</w:t>
      </w:r>
    </w:p>
    <w:p>
      <w:pPr>
        <w:spacing w:after="0" w:line="225" w:lineRule="exact"/>
        <w:rPr>
          <w:sz w:val="20"/>
          <w:szCs w:val="20"/>
          <w:color w:val="auto"/>
        </w:rPr>
      </w:pPr>
    </w:p>
    <w:p>
      <w:pPr>
        <w:ind w:left="500" w:hanging="492"/>
        <w:spacing w:after="0" w:line="282"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Financial Statement Schedules (Schedules to the Financial Statements have been omitted because the information required to be set forth therein is not applicable or is shown in the accompanying Financial Statements or notes thereto).</w:t>
      </w:r>
    </w:p>
    <w:p>
      <w:pPr>
        <w:spacing w:after="0" w:line="162" w:lineRule="exact"/>
        <w:rPr>
          <w:sz w:val="20"/>
          <w:szCs w:val="20"/>
          <w:color w:val="auto"/>
        </w:rPr>
      </w:pPr>
    </w:p>
    <w:p>
      <w:pPr>
        <w:ind w:left="260" w:hanging="252"/>
        <w:spacing w:after="0"/>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Exhibits (see “Exhibit Index” below).</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(a)(3).</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564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9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720" w:type="dxa"/>
            <w:vAlign w:val="bottom"/>
            <w:tcBorders>
              <w:bottom w:val="single" w:sz="8" w:color="auto"/>
            </w:tcBorders>
            <w:gridSpan w:val="43"/>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4720" w:type="dxa"/>
            <w:vAlign w:val="bottom"/>
            <w:gridSpan w:val="43"/>
          </w:tcPr>
          <w:p>
            <w:pPr>
              <w:spacing w:after="0" w:line="169"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Agreement and Plan of Merger and Reorganization dated</w:t>
              </w:r>
            </w:hyperlink>
          </w:p>
        </w:tc>
        <w:tc>
          <w:tcPr>
            <w:tcW w:w="15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7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rPr>
              <w:t>October 30, 2017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October 27, 2017, by and among Aviragen Therapeutics, Inc.,</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Vaxart, Inc. and Agora Merger Sub, Inc.</w:t>
              </w:r>
            </w:hyperlink>
          </w:p>
        </w:tc>
        <w:tc>
          <w:tcPr>
            <w:tcW w:w="1540" w:type="dxa"/>
            <w:vAlign w:val="bottom"/>
            <w:tcBorders>
              <w:top w:val="single" w:sz="8" w:color="0000EE"/>
            </w:tcBorders>
            <w:gridSpan w:val="22"/>
          </w:tcPr>
          <w:p>
            <w:pPr>
              <w:spacing w:after="0"/>
              <w:rPr>
                <w:sz w:val="17"/>
                <w:szCs w:val="17"/>
                <w:color w:val="auto"/>
              </w:rPr>
            </w:pPr>
          </w:p>
        </w:tc>
        <w:tc>
          <w:tcPr>
            <w:tcW w:w="12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39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Amendment No. 1, dated as of February 7, 2018, to the</w:t>
              </w:r>
            </w:hyperlink>
          </w:p>
        </w:tc>
        <w:tc>
          <w:tcPr>
            <w:tcW w:w="740" w:type="dxa"/>
            <w:vAlign w:val="bottom"/>
            <w:gridSpan w:val="16"/>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February 7, 2018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Agreement and Plan of Merger and Reorganization dated</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October 27, 2017, by and among Aviragen Therapeutics, Inc.,</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Vaxart, Inc. and Agora Merger Sub, Inc.</w:t>
              </w:r>
            </w:hyperlink>
          </w:p>
        </w:tc>
        <w:tc>
          <w:tcPr>
            <w:tcW w:w="1540" w:type="dxa"/>
            <w:vAlign w:val="bottom"/>
            <w:tcBorders>
              <w:top w:val="single" w:sz="8" w:color="0000EE"/>
            </w:tcBorders>
            <w:gridSpan w:val="22"/>
          </w:tcPr>
          <w:p>
            <w:pPr>
              <w:spacing w:after="0"/>
              <w:rPr>
                <w:sz w:val="17"/>
                <w:szCs w:val="17"/>
                <w:color w:val="auto"/>
              </w:rPr>
            </w:pPr>
          </w:p>
        </w:tc>
        <w:tc>
          <w:tcPr>
            <w:tcW w:w="12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456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Restated Certificate of Incorporation of Aviragen Therapeutics,</w:t>
              </w:r>
            </w:hyperlink>
          </w:p>
        </w:tc>
        <w:tc>
          <w:tcPr>
            <w:tcW w:w="160" w:type="dxa"/>
            <w:vAlign w:val="bottom"/>
            <w:gridSpan w:val="7"/>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13, 2016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Inc.</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Certificate of Amendment to Restated Certificate of</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20, 2018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5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Incorporation of Aviragen Therapeutics, Inc.</w:t>
              </w:r>
            </w:hyperlink>
          </w:p>
        </w:tc>
        <w:tc>
          <w:tcPr>
            <w:tcW w:w="100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Certificate of Amendment to Restated Certificate of</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20, 2018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Incorporation of Vaxart, Inc.</w:t>
              </w:r>
            </w:hyperlink>
          </w:p>
        </w:tc>
        <w:tc>
          <w:tcPr>
            <w:tcW w:w="1500" w:type="dxa"/>
            <w:vAlign w:val="bottom"/>
            <w:tcBorders>
              <w:top w:val="single" w:sz="8" w:color="0000EE"/>
            </w:tcBorders>
            <w:gridSpan w:val="14"/>
          </w:tcPr>
          <w:p>
            <w:pPr>
              <w:spacing w:after="0"/>
              <w:rPr>
                <w:sz w:val="17"/>
                <w:szCs w:val="17"/>
                <w:color w:val="auto"/>
              </w:rPr>
            </w:pPr>
          </w:p>
        </w:tc>
        <w:tc>
          <w:tcPr>
            <w:tcW w:w="100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37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Certificate of Amendment to Restated Certificate of</w:t>
              </w:r>
            </w:hyperlink>
          </w:p>
        </w:tc>
        <w:tc>
          <w:tcPr>
            <w:tcW w:w="980" w:type="dxa"/>
            <w:vAlign w:val="bottom"/>
            <w:gridSpan w:val="18"/>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24, 2019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Incorporation of Vaxart, Inc.</w:t>
              </w:r>
            </w:hyperlink>
          </w:p>
        </w:tc>
        <w:tc>
          <w:tcPr>
            <w:tcW w:w="2500" w:type="dxa"/>
            <w:vAlign w:val="bottom"/>
            <w:gridSpan w:val="33"/>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Certificate of Amendment to Restated Certificate of</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June 9,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Incorporation of Vaxart, Inc.</w:t>
              </w:r>
            </w:hyperlink>
          </w:p>
        </w:tc>
        <w:tc>
          <w:tcPr>
            <w:tcW w:w="1500" w:type="dxa"/>
            <w:vAlign w:val="bottom"/>
            <w:tcBorders>
              <w:top w:val="single" w:sz="8" w:color="0000EE"/>
            </w:tcBorders>
            <w:gridSpan w:val="14"/>
          </w:tcPr>
          <w:p>
            <w:pPr>
              <w:spacing w:after="0"/>
              <w:rPr>
                <w:sz w:val="17"/>
                <w:szCs w:val="17"/>
                <w:color w:val="auto"/>
              </w:rPr>
            </w:pPr>
          </w:p>
        </w:tc>
        <w:tc>
          <w:tcPr>
            <w:tcW w:w="100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Certificate of Amendment to Restated Certificate of</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August 8, 2022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7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Incorporation of Vaxart, Inc.</w:t>
              </w:r>
            </w:hyperlink>
          </w:p>
        </w:tc>
        <w:tc>
          <w:tcPr>
            <w:tcW w:w="100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Certificate of Amendment to Restated Certificate of</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June 13,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7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Incorporation of Vaxart, Inc.</w:t>
              </w:r>
            </w:hyperlink>
          </w:p>
        </w:tc>
        <w:tc>
          <w:tcPr>
            <w:tcW w:w="100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45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Amended and Restated By-laws of Vaxart, Inc., effective as of</w:t>
              </w:r>
            </w:hyperlink>
          </w:p>
        </w:tc>
        <w:tc>
          <w:tcPr>
            <w:tcW w:w="220" w:type="dxa"/>
            <w:vAlign w:val="bottom"/>
            <w:gridSpan w:val="9"/>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October 23, 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October 18, 2023</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720" w:type="dxa"/>
            <w:vAlign w:val="bottom"/>
            <w:gridSpan w:val="43"/>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157">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to </w:t>
            </w:r>
            <w:hyperlink r:id="rId164">
              <w:r>
                <w:rPr>
                  <w:rFonts w:ascii="Times New Roman" w:cs="Times New Roman" w:eastAsia="Times New Roman" w:hAnsi="Times New Roman"/>
                  <w:sz w:val="18"/>
                  <w:szCs w:val="18"/>
                  <w:color w:val="0000EE"/>
                </w:rPr>
                <w:t>3.8</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Specimen Common Stock Certificate</w:t>
              </w:r>
            </w:hyperlink>
          </w:p>
        </w:tc>
        <w:tc>
          <w:tcPr>
            <w:tcW w:w="2000" w:type="dxa"/>
            <w:vAlign w:val="bottom"/>
            <w:gridSpan w:val="31"/>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333-228910</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20, 2018</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30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66">
              <w:r>
                <w:rPr>
                  <w:rFonts w:ascii="Times New Roman" w:cs="Times New Roman" w:eastAsia="Times New Roman" w:hAnsi="Times New Roman"/>
                  <w:sz w:val="18"/>
                  <w:szCs w:val="18"/>
                  <w:color w:val="0000EE"/>
                  <w:w w:val="98"/>
                </w:rPr>
                <w:t>Form of Pre-Funded Warrant (April 2019)</w:t>
              </w:r>
            </w:hyperlink>
          </w:p>
        </w:tc>
        <w:tc>
          <w:tcPr>
            <w:tcW w:w="1680" w:type="dxa"/>
            <w:vAlign w:val="bottom"/>
            <w:gridSpan w:val="28"/>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333-229536</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February 6, 2019</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33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Form of Common Stock Warrant (April 2019)</w:t>
              </w:r>
            </w:hyperlink>
          </w:p>
        </w:tc>
        <w:tc>
          <w:tcPr>
            <w:tcW w:w="1360" w:type="dxa"/>
            <w:vAlign w:val="bottom"/>
            <w:gridSpan w:val="24"/>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333-229536</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8, 2019</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3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Form of Representative Warrant (April 2019)</w:t>
              </w:r>
            </w:hyperlink>
          </w:p>
        </w:tc>
        <w:tc>
          <w:tcPr>
            <w:tcW w:w="1440" w:type="dxa"/>
            <w:vAlign w:val="bottom"/>
            <w:gridSpan w:val="25"/>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333-229536</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8, 2019</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Form of Pre-Funded Warrant (September 2019)</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333-233717</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7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September 11, 2019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Form of Common Stock Warrant (September 2019)</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333-233717</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7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September 11, 2019</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366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Form of Representative Warrant (September 2019)</w:t>
              </w:r>
            </w:hyperlink>
          </w:p>
        </w:tc>
        <w:tc>
          <w:tcPr>
            <w:tcW w:w="40" w:type="dxa"/>
            <w:vAlign w:val="bottom"/>
            <w:tcBorders>
              <w:top w:val="single" w:sz="8" w:color="0000EE"/>
            </w:tcBorders>
          </w:tcPr>
          <w:p>
            <w:pPr>
              <w:spacing w:after="0"/>
              <w:rPr>
                <w:sz w:val="17"/>
                <w:szCs w:val="17"/>
                <w:color w:val="auto"/>
              </w:rPr>
            </w:pPr>
          </w:p>
        </w:tc>
        <w:tc>
          <w:tcPr>
            <w:tcW w:w="1020" w:type="dxa"/>
            <w:vAlign w:val="bottom"/>
            <w:gridSpan w:val="20"/>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333-233717</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24, 2019</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Form of Common Stock Warrant (March 2020)</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March 2, 2020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3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73">
              <w:r>
                <w:rPr>
                  <w:rFonts w:ascii="Times New Roman" w:cs="Times New Roman" w:eastAsia="Times New Roman" w:hAnsi="Times New Roman"/>
                  <w:sz w:val="18"/>
                  <w:szCs w:val="18"/>
                  <w:color w:val="0000EE"/>
                  <w:w w:val="98"/>
                </w:rPr>
                <w:t>Form of Placement Agent Warrant (March 2020)</w:t>
              </w:r>
            </w:hyperlink>
          </w:p>
        </w:tc>
        <w:tc>
          <w:tcPr>
            <w:tcW w:w="1200" w:type="dxa"/>
            <w:vAlign w:val="bottom"/>
            <w:gridSpan w:val="22"/>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March 2, 2020</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4.11 *</w:t>
            </w:r>
          </w:p>
        </w:tc>
        <w:tc>
          <w:tcPr>
            <w:tcW w:w="47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of the Registrant</w:t>
            </w: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458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Amended and Restated Warrant issued to Oxford Finance LLC,</w:t>
              </w:r>
            </w:hyperlink>
          </w:p>
        </w:tc>
        <w:tc>
          <w:tcPr>
            <w:tcW w:w="140" w:type="dxa"/>
            <w:vAlign w:val="bottom"/>
            <w:gridSpan w:val="6"/>
          </w:tcPr>
          <w:p>
            <w:pPr>
              <w:spacing w:after="0"/>
              <w:rPr>
                <w:sz w:val="17"/>
                <w:szCs w:val="17"/>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February 20, 2018</w:t>
            </w: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760" w:type="dxa"/>
            <w:vAlign w:val="bottom"/>
            <w:gridSpan w:val="7"/>
            <w:vMerge w:val="restart"/>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dated February 13, 2018</w:t>
              </w:r>
            </w:hyperlink>
          </w:p>
        </w:tc>
        <w:tc>
          <w:tcPr>
            <w:tcW w:w="2960" w:type="dxa"/>
            <w:vAlign w:val="bottom"/>
            <w:gridSpan w:val="36"/>
            <w:vMerge w:val="restart"/>
          </w:tcPr>
          <w:p>
            <w:pPr>
              <w:spacing w:after="0"/>
              <w:rPr>
                <w:sz w:val="11"/>
                <w:szCs w:val="11"/>
                <w:color w:val="auto"/>
              </w:rPr>
            </w:pPr>
          </w:p>
        </w:tc>
        <w:tc>
          <w:tcPr>
            <w:tcW w:w="15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760" w:type="dxa"/>
            <w:vAlign w:val="bottom"/>
            <w:tcBorders>
              <w:bottom w:val="single" w:sz="8" w:color="0000EE"/>
            </w:tcBorders>
            <w:gridSpan w:val="7"/>
            <w:vMerge w:val="continue"/>
          </w:tcPr>
          <w:p>
            <w:pPr>
              <w:spacing w:after="0"/>
              <w:rPr>
                <w:sz w:val="5"/>
                <w:szCs w:val="5"/>
                <w:color w:val="auto"/>
              </w:rPr>
            </w:pPr>
          </w:p>
        </w:tc>
        <w:tc>
          <w:tcPr>
            <w:tcW w:w="2960" w:type="dxa"/>
            <w:vAlign w:val="bottom"/>
            <w:gridSpan w:val="36"/>
            <w:vMerge w:val="continue"/>
          </w:tcPr>
          <w:p>
            <w:pPr>
              <w:spacing w:after="0"/>
              <w:rPr>
                <w:sz w:val="5"/>
                <w:szCs w:val="5"/>
                <w:color w:val="auto"/>
              </w:rPr>
            </w:pPr>
          </w:p>
        </w:tc>
        <w:tc>
          <w:tcPr>
            <w:tcW w:w="1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 +</w:t>
            </w:r>
          </w:p>
        </w:tc>
        <w:tc>
          <w:tcPr>
            <w:tcW w:w="4720" w:type="dxa"/>
            <w:vAlign w:val="bottom"/>
            <w:gridSpan w:val="43"/>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Collaboration and License Agreement dated September 29, 2003,</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10, 2013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540" w:type="dxa"/>
            <w:vAlign w:val="bottom"/>
            <w:tcBorders>
              <w:top w:val="single" w:sz="8" w:color="0000EE"/>
            </w:tcBorders>
            <w:gridSpan w:val="41"/>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between Biota Holdings Limited and Sankyo Co., Ltd.</w:t>
              </w:r>
            </w:hyperlink>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 +</w:t>
            </w:r>
          </w:p>
        </w:tc>
        <w:tc>
          <w:tcPr>
            <w:tcW w:w="45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Amendment #1 to Collaboration and License Agreement dated</w:t>
              </w:r>
            </w:hyperlink>
          </w:p>
        </w:tc>
        <w:tc>
          <w:tcPr>
            <w:tcW w:w="200" w:type="dxa"/>
            <w:vAlign w:val="bottom"/>
            <w:gridSpan w:val="8"/>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10, 2013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June 30, 2005, between Biota Holdings Limited, Biota</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Scientific Management Pty. Ltd. and Sankyo Company, Ltd.</w:t>
              </w:r>
            </w:hyperlink>
          </w:p>
        </w:tc>
        <w:tc>
          <w:tcPr>
            <w:tcW w:w="22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56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Amendment #2 to Collaboration and License Agreement, dated</w:t>
              </w:r>
            </w:hyperlink>
          </w:p>
        </w:tc>
        <w:tc>
          <w:tcPr>
            <w:tcW w:w="160" w:type="dxa"/>
            <w:vAlign w:val="bottom"/>
            <w:gridSpan w:val="7"/>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10.7</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10, 2013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March 27, 2009, between Biota Holdings Limited, Biota</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Scientific Management Pty. Ltd. and Daiichi Sankyo</w:t>
              </w:r>
            </w:hyperlink>
          </w:p>
        </w:tc>
        <w:tc>
          <w:tcPr>
            <w:tcW w:w="260" w:type="dxa"/>
            <w:vAlign w:val="bottom"/>
            <w:tcBorders>
              <w:top w:val="single" w:sz="8" w:color="0000EE"/>
            </w:tcBorders>
            <w:gridSpan w:val="3"/>
          </w:tcPr>
          <w:p>
            <w:pPr>
              <w:spacing w:after="0"/>
              <w:rPr>
                <w:sz w:val="17"/>
                <w:szCs w:val="17"/>
                <w:color w:val="auto"/>
              </w:rPr>
            </w:pPr>
          </w:p>
        </w:tc>
        <w:tc>
          <w:tcPr>
            <w:tcW w:w="500" w:type="dxa"/>
            <w:vAlign w:val="bottom"/>
            <w:gridSpan w:val="14"/>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Company, Limited</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 +</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Commercialization Agreement dated March 27, 2009, between</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10, 2013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820" w:type="dxa"/>
            <w:vAlign w:val="bottom"/>
            <w:gridSpan w:val="11"/>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Biota Holdings Limited, Biota Scientific Management Pty. Ltd</w:t>
              </w:r>
            </w:hyperlink>
          </w:p>
        </w:tc>
        <w:tc>
          <w:tcPr>
            <w:tcW w:w="4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and Daiichi Sankyo Company, Ltd.</w:t>
              </w:r>
            </w:hyperlink>
          </w:p>
        </w:tc>
        <w:tc>
          <w:tcPr>
            <w:tcW w:w="2000" w:type="dxa"/>
            <w:vAlign w:val="bottom"/>
            <w:gridSpan w:val="31"/>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 +</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Contract dated March 31, 2011, between Biota Scientific</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10, 2013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820" w:type="dxa"/>
            <w:vAlign w:val="bottom"/>
            <w:gridSpan w:val="11"/>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Management Pty. Ltd. and Office of Biomedical Advanced</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Research and Development Authority within the Office of the</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Assistant Secretary for preparedness and Response at the U.S.</w:t>
              </w:r>
            </w:hyperlink>
          </w:p>
        </w:tc>
        <w:tc>
          <w:tcPr>
            <w:tcW w:w="8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Department of Health and Human Services</w:t>
              </w:r>
            </w:hyperlink>
          </w:p>
        </w:tc>
        <w:tc>
          <w:tcPr>
            <w:tcW w:w="1460" w:type="dxa"/>
            <w:vAlign w:val="bottom"/>
            <w:gridSpan w:val="26"/>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 +</w:t>
            </w:r>
          </w:p>
        </w:tc>
        <w:tc>
          <w:tcPr>
            <w:tcW w:w="44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Research and License Agreement dated February 21, 1990, by</w:t>
              </w:r>
            </w:hyperlink>
          </w:p>
        </w:tc>
        <w:tc>
          <w:tcPr>
            <w:tcW w:w="240" w:type="dxa"/>
            <w:vAlign w:val="bottom"/>
            <w:gridSpan w:val="10"/>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27, 2013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and among Biota Scientific Management Pty. Ltd., Biota</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1520" w:type="dxa"/>
            <w:vAlign w:val="bottom"/>
            <w:gridSpan w:val="1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Holdings Limited, Glaxo Australia Pty. Ltd. and Glaxo Group</w:t>
              </w:r>
            </w:hyperlink>
          </w:p>
        </w:tc>
        <w:tc>
          <w:tcPr>
            <w:tcW w:w="100" w:type="dxa"/>
            <w:vAlign w:val="bottom"/>
            <w:gridSpan w:val="4"/>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Limited</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10.7 #</w:t>
            </w:r>
          </w:p>
        </w:tc>
        <w:tc>
          <w:tcPr>
            <w:tcW w:w="464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2007 Omnibus Equity and Incentive Plan (included as Appendix</w:t>
              </w:r>
            </w:hyperlink>
          </w:p>
        </w:tc>
        <w:tc>
          <w:tcPr>
            <w:tcW w:w="80" w:type="dxa"/>
            <w:vAlign w:val="bottom"/>
            <w:gridSpan w:val="3"/>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DEF 14A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000-04829</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12, 2007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A to the proxy statement)</w:t>
              </w:r>
            </w:hyperlink>
          </w:p>
        </w:tc>
        <w:tc>
          <w:tcPr>
            <w:tcW w:w="2680" w:type="dxa"/>
            <w:vAlign w:val="bottom"/>
            <w:gridSpan w:val="35"/>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10.8 #</w:t>
            </w:r>
          </w:p>
        </w:tc>
        <w:tc>
          <w:tcPr>
            <w:tcW w:w="43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Form of Employee Stock Option Agreement under the 2007</w:t>
              </w:r>
            </w:hyperlink>
          </w:p>
        </w:tc>
        <w:tc>
          <w:tcPr>
            <w:tcW w:w="400" w:type="dxa"/>
            <w:vAlign w:val="bottom"/>
            <w:gridSpan w:val="12"/>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10, 2013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Omnibus Equity and Incentive Plan</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582"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582"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578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Borders>
              <w:top w:val="single" w:sz="8" w:color="0000EE"/>
              <w:bottom w:val="single" w:sz="8" w:color="0000EE"/>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860" w:type="dxa"/>
            <w:vAlign w:val="bottom"/>
            <w:tcBorders>
              <w:bottom w:val="single" w:sz="8" w:color="auto"/>
            </w:tcBorders>
            <w:gridSpan w:val="36"/>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3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5780" w:type="dxa"/>
            <w:vAlign w:val="bottom"/>
            <w:gridSpan w:val="37"/>
          </w:tcPr>
          <w:p>
            <w:pPr>
              <w:ind w:left="22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10.9 +   </w:t>
            </w:r>
            <w:hyperlink r:id="rId184">
              <w:r>
                <w:rPr>
                  <w:rFonts w:ascii="Times New Roman" w:cs="Times New Roman" w:eastAsia="Times New Roman" w:hAnsi="Times New Roman"/>
                  <w:sz w:val="18"/>
                  <w:szCs w:val="18"/>
                  <w:color w:val="0000EE"/>
                </w:rPr>
                <w:t>Royalty Interest Acquisition Agreement by and between</w:t>
              </w:r>
            </w:hyperlink>
          </w:p>
        </w:tc>
        <w:tc>
          <w:tcPr>
            <w:tcW w:w="138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rPr>
              <w:t>April 26, 2016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Aviragen Therapeutics, Inc., Biota Holdings Pty Ltd, Biota</w:t>
              </w:r>
            </w:hyperlink>
          </w:p>
        </w:tc>
        <w:tc>
          <w:tcPr>
            <w:tcW w:w="460" w:type="dxa"/>
            <w:vAlign w:val="bottom"/>
            <w:gridSpan w:val="10"/>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Scientific Management Pty. Ltd. and HealthCare Royalty</w:t>
              </w:r>
            </w:hyperlink>
          </w:p>
        </w:tc>
        <w:tc>
          <w:tcPr>
            <w:tcW w:w="580" w:type="dxa"/>
            <w:vAlign w:val="bottom"/>
            <w:gridSpan w:val="14"/>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r:id="rId184">
              <w:r>
                <w:rPr>
                  <w:rFonts w:ascii="Times New Roman" w:cs="Times New Roman" w:eastAsia="Times New Roman" w:hAnsi="Times New Roman"/>
                  <w:sz w:val="18"/>
                  <w:szCs w:val="18"/>
                  <w:color w:val="0000EE"/>
                  <w:w w:val="97"/>
                </w:rPr>
                <w:t>Partners III, L.P. dated April 22, 2016</w:t>
              </w:r>
            </w:hyperlink>
          </w:p>
        </w:tc>
        <w:tc>
          <w:tcPr>
            <w:tcW w:w="1980" w:type="dxa"/>
            <w:vAlign w:val="bottom"/>
            <w:gridSpan w:val="23"/>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10.10   </w:t>
            </w:r>
            <w:hyperlink r:id="rId185">
              <w:r>
                <w:rPr>
                  <w:rFonts w:ascii="Times New Roman" w:cs="Times New Roman" w:eastAsia="Times New Roman" w:hAnsi="Times New Roman"/>
                  <w:sz w:val="18"/>
                  <w:szCs w:val="18"/>
                  <w:color w:val="0000EE"/>
                </w:rPr>
                <w:t>Protective Rights Agreement between Aviragen Therapeutics,</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26, 2016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Inc. and HealthCare Royalty Partners III, L.P. dated April 22,</w:t>
              </w:r>
            </w:hyperlink>
          </w:p>
        </w:tc>
        <w:tc>
          <w:tcPr>
            <w:tcW w:w="280" w:type="dxa"/>
            <w:vAlign w:val="bottom"/>
            <w:gridSpan w:val="5"/>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20" w:type="dxa"/>
            <w:vAlign w:val="bottom"/>
            <w:gridSpan w:val="3"/>
          </w:tcPr>
          <w:p>
            <w:pPr>
              <w:ind w:left="160"/>
              <w:spacing w:after="0" w:line="196" w:lineRule="exact"/>
              <w:rPr>
                <w:rFonts w:ascii="Times New Roman" w:cs="Times New Roman" w:eastAsia="Times New Roman" w:hAnsi="Times New Roman"/>
                <w:sz w:val="18"/>
                <w:szCs w:val="18"/>
                <w:color w:val="0000EE"/>
                <w:w w:val="94"/>
              </w:rPr>
            </w:pPr>
            <w:hyperlink r:id="rId185">
              <w:r>
                <w:rPr>
                  <w:rFonts w:ascii="Times New Roman" w:cs="Times New Roman" w:eastAsia="Times New Roman" w:hAnsi="Times New Roman"/>
                  <w:sz w:val="18"/>
                  <w:szCs w:val="18"/>
                  <w:color w:val="0000EE"/>
                  <w:w w:val="94"/>
                </w:rPr>
                <w:t>2016</w:t>
              </w:r>
            </w:hyperlink>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10.11 #  </w:t>
            </w:r>
            <w:hyperlink r:id="rId186">
              <w:r>
                <w:rPr>
                  <w:rFonts w:ascii="Times New Roman" w:cs="Times New Roman" w:eastAsia="Times New Roman" w:hAnsi="Times New Roman"/>
                  <w:sz w:val="18"/>
                  <w:szCs w:val="18"/>
                  <w:color w:val="0000EE"/>
                </w:rPr>
                <w:t>Form of Employee Stock Option Agreement under the 2016</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May 8, 2017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r:id="rId186">
              <w:r>
                <w:rPr>
                  <w:rFonts w:ascii="Times New Roman" w:cs="Times New Roman" w:eastAsia="Times New Roman" w:hAnsi="Times New Roman"/>
                  <w:sz w:val="18"/>
                  <w:szCs w:val="18"/>
                  <w:color w:val="0000EE"/>
                  <w:w w:val="97"/>
                </w:rPr>
                <w:t>Equity Incentive Plan</w:t>
              </w:r>
            </w:hyperlink>
          </w:p>
        </w:tc>
        <w:tc>
          <w:tcPr>
            <w:tcW w:w="2600" w:type="dxa"/>
            <w:vAlign w:val="bottom"/>
            <w:tcBorders>
              <w:top w:val="single" w:sz="8" w:color="0000EE"/>
            </w:tcBorders>
            <w:gridSpan w:val="16"/>
          </w:tcPr>
          <w:p>
            <w:pPr>
              <w:spacing w:after="0"/>
              <w:rPr>
                <w:sz w:val="17"/>
                <w:szCs w:val="17"/>
                <w:color w:val="auto"/>
              </w:rPr>
            </w:pPr>
          </w:p>
        </w:tc>
        <w:tc>
          <w:tcPr>
            <w:tcW w:w="540" w:type="dxa"/>
            <w:vAlign w:val="bottom"/>
            <w:gridSpan w:val="12"/>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10.12 #  </w:t>
            </w:r>
            <w:hyperlink r:id="rId187">
              <w:r>
                <w:rPr>
                  <w:rFonts w:ascii="Times New Roman" w:cs="Times New Roman" w:eastAsia="Times New Roman" w:hAnsi="Times New Roman"/>
                  <w:sz w:val="18"/>
                  <w:szCs w:val="18"/>
                  <w:color w:val="0000EE"/>
                </w:rPr>
                <w:t>2016 Equity Incentive Plan (included as Appendix A to the</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DEF 14A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27, 2016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proxy statement)</w:t>
              </w:r>
            </w:hyperlink>
          </w:p>
        </w:tc>
        <w:tc>
          <w:tcPr>
            <w:tcW w:w="600" w:type="dxa"/>
            <w:vAlign w:val="bottom"/>
            <w:gridSpan w:val="15"/>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10.13 #</w:t>
            </w:r>
          </w:p>
        </w:tc>
        <w:tc>
          <w:tcPr>
            <w:tcW w:w="2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Director Stock Option Agreement</w:t>
              </w:r>
            </w:hyperlink>
          </w:p>
        </w:tc>
        <w:tc>
          <w:tcPr>
            <w:tcW w:w="2420" w:type="dxa"/>
            <w:vAlign w:val="bottom"/>
            <w:gridSpan w:val="25"/>
          </w:tcPr>
          <w:p>
            <w:pPr>
              <w:spacing w:after="0"/>
              <w:rPr>
                <w:sz w:val="17"/>
                <w:szCs w:val="17"/>
                <w:color w:val="auto"/>
              </w:rPr>
            </w:pPr>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333-222009</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12, 2017</w:t>
            </w:r>
          </w:p>
        </w:tc>
        <w:tc>
          <w:tcPr>
            <w:tcW w:w="0" w:type="dxa"/>
            <w:vAlign w:val="bottom"/>
          </w:tcPr>
          <w:p>
            <w:pPr>
              <w:spacing w:after="0"/>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10.14   </w:t>
            </w:r>
            <w:hyperlink r:id="rId189">
              <w:r>
                <w:rPr>
                  <w:rFonts w:ascii="Times New Roman" w:cs="Times New Roman" w:eastAsia="Times New Roman" w:hAnsi="Times New Roman"/>
                  <w:sz w:val="18"/>
                  <w:szCs w:val="18"/>
                  <w:color w:val="0000EE"/>
                </w:rPr>
                <w:t>Form of Indemnification Agreement by and between Vaxart, Inc.</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20, 2018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50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and its Directors and Executive Officers</w:t>
              </w:r>
            </w:hyperlink>
          </w:p>
        </w:tc>
        <w:tc>
          <w:tcPr>
            <w:tcW w:w="18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10.15 #  </w:t>
            </w:r>
            <w:hyperlink r:id="rId190">
              <w:r>
                <w:rPr>
                  <w:rFonts w:ascii="Times New Roman" w:cs="Times New Roman" w:eastAsia="Times New Roman" w:hAnsi="Times New Roman"/>
                  <w:sz w:val="18"/>
                  <w:szCs w:val="18"/>
                  <w:color w:val="0000EE"/>
                </w:rPr>
                <w:t>Vaxart, Inc. Amended and Restated 2007 Equity Incentive Plan,</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S-4/A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333-222009</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29, 2017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14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Stock Option Agreement, form of Notice of Stock Option</w:t>
              </w:r>
            </w:hyperlink>
          </w:p>
        </w:tc>
        <w:tc>
          <w:tcPr>
            <w:tcW w:w="280" w:type="dxa"/>
            <w:vAlign w:val="bottom"/>
            <w:tcBorders>
              <w:top w:val="single" w:sz="8" w:color="0000EE"/>
            </w:tcBorders>
            <w:gridSpan w:val="8"/>
          </w:tcPr>
          <w:p>
            <w:pPr>
              <w:spacing w:after="0"/>
              <w:rPr>
                <w:sz w:val="17"/>
                <w:szCs w:val="17"/>
                <w:color w:val="auto"/>
              </w:rPr>
            </w:pPr>
          </w:p>
        </w:tc>
        <w:tc>
          <w:tcPr>
            <w:tcW w:w="26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Grant, form of Additional Terms and Conditions to Option and</w:t>
              </w:r>
            </w:hyperlink>
          </w:p>
        </w:tc>
        <w:tc>
          <w:tcPr>
            <w:tcW w:w="18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Stock Option Exercise Agreement</w:t>
              </w:r>
            </w:hyperlink>
          </w:p>
        </w:tc>
        <w:tc>
          <w:tcPr>
            <w:tcW w:w="2240" w:type="dxa"/>
            <w:vAlign w:val="bottom"/>
            <w:gridSpan w:val="24"/>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10.16   </w:t>
            </w:r>
            <w:hyperlink r:id="rId191">
              <w:r>
                <w:rPr>
                  <w:rFonts w:ascii="Times New Roman" w:cs="Times New Roman" w:eastAsia="Times New Roman" w:hAnsi="Times New Roman"/>
                  <w:sz w:val="18"/>
                  <w:szCs w:val="18"/>
                  <w:color w:val="0000EE"/>
                </w:rPr>
                <w:t>Industrial Lease dated October 28, 2013, by and between Vaxart,</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S-4/A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333-222009</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29, 2017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8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Inc. and Oyster Point LLC</w:t>
              </w:r>
            </w:hyperlink>
          </w:p>
        </w:tc>
        <w:tc>
          <w:tcPr>
            <w:tcW w:w="20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10.17   </w:t>
            </w:r>
            <w:hyperlink r:id="rId192">
              <w:r>
                <w:rPr>
                  <w:rFonts w:ascii="Times New Roman" w:cs="Times New Roman" w:eastAsia="Times New Roman" w:hAnsi="Times New Roman"/>
                  <w:sz w:val="18"/>
                  <w:szCs w:val="18"/>
                  <w:color w:val="0000EE"/>
                </w:rPr>
                <w:t>Lease Agreement dated April 17, 2015, by and between Vaxart,</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S-4/A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333-222009</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29, 2017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r:id="rId192">
              <w:r>
                <w:rPr>
                  <w:rFonts w:ascii="Times New Roman" w:cs="Times New Roman" w:eastAsia="Times New Roman" w:hAnsi="Times New Roman"/>
                  <w:sz w:val="18"/>
                  <w:szCs w:val="18"/>
                  <w:color w:val="0000EE"/>
                  <w:w w:val="97"/>
                </w:rPr>
                <w:t>Inc. and CRP Edgewater, LLC</w:t>
              </w:r>
            </w:hyperlink>
          </w:p>
        </w:tc>
        <w:tc>
          <w:tcPr>
            <w:tcW w:w="2220" w:type="dxa"/>
            <w:vAlign w:val="bottom"/>
            <w:tcBorders>
              <w:top w:val="single" w:sz="8" w:color="0000EE"/>
            </w:tcBorders>
            <w:gridSpan w:val="21"/>
          </w:tcPr>
          <w:p>
            <w:pPr>
              <w:spacing w:after="0"/>
              <w:rPr>
                <w:sz w:val="17"/>
                <w:szCs w:val="17"/>
                <w:color w:val="auto"/>
              </w:rPr>
            </w:pPr>
          </w:p>
        </w:tc>
        <w:tc>
          <w:tcPr>
            <w:tcW w:w="280" w:type="dxa"/>
            <w:vAlign w:val="bottom"/>
            <w:gridSpan w:val="5"/>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10.18 #  </w:t>
            </w:r>
            <w:hyperlink r:id="rId193">
              <w:r>
                <w:rPr>
                  <w:rFonts w:ascii="Times New Roman" w:cs="Times New Roman" w:eastAsia="Times New Roman" w:hAnsi="Times New Roman"/>
                  <w:sz w:val="18"/>
                  <w:szCs w:val="18"/>
                  <w:color w:val="0000EE"/>
                </w:rPr>
                <w:t>Severance Benefit Plan and Form of Severance Benefit Plan</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June 6, 2018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r:id="rId193">
              <w:r>
                <w:rPr>
                  <w:rFonts w:ascii="Times New Roman" w:cs="Times New Roman" w:eastAsia="Times New Roman" w:hAnsi="Times New Roman"/>
                  <w:sz w:val="18"/>
                  <w:szCs w:val="18"/>
                  <w:color w:val="0000EE"/>
                  <w:w w:val="96"/>
                </w:rPr>
                <w:t>Participation Notice</w:t>
              </w:r>
            </w:hyperlink>
          </w:p>
        </w:tc>
        <w:tc>
          <w:tcPr>
            <w:tcW w:w="2720" w:type="dxa"/>
            <w:vAlign w:val="bottom"/>
            <w:tcBorders>
              <w:top w:val="single" w:sz="8" w:color="0000EE"/>
            </w:tcBorders>
            <w:gridSpan w:val="18"/>
          </w:tcPr>
          <w:p>
            <w:pPr>
              <w:spacing w:after="0"/>
              <w:rPr>
                <w:sz w:val="17"/>
                <w:szCs w:val="17"/>
                <w:color w:val="auto"/>
              </w:rPr>
            </w:pPr>
          </w:p>
        </w:tc>
        <w:tc>
          <w:tcPr>
            <w:tcW w:w="540" w:type="dxa"/>
            <w:vAlign w:val="bottom"/>
            <w:gridSpan w:val="12"/>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10.19 #  </w:t>
            </w:r>
            <w:hyperlink r:id="rId194">
              <w:r>
                <w:rPr>
                  <w:rFonts w:ascii="Times New Roman" w:cs="Times New Roman" w:eastAsia="Times New Roman" w:hAnsi="Times New Roman"/>
                  <w:sz w:val="18"/>
                  <w:szCs w:val="18"/>
                  <w:color w:val="0000EE"/>
                </w:rPr>
                <w:t>2019 Equity Incentive Plan, as amended</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June 21, 2021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10.20 #  </w:t>
            </w:r>
            <w:hyperlink r:id="rId195">
              <w:r>
                <w:rPr>
                  <w:rFonts w:ascii="Times New Roman" w:cs="Times New Roman" w:eastAsia="Times New Roman" w:hAnsi="Times New Roman"/>
                  <w:sz w:val="18"/>
                  <w:szCs w:val="18"/>
                  <w:color w:val="0000EE"/>
                </w:rPr>
                <w:t>Form of Stock Option Grant Notice, Stock Option Agreement</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333-239727</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July 7, 2020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20" w:type="dxa"/>
            <w:vAlign w:val="bottom"/>
            <w:tcBorders>
              <w:right w:val="single" w:sz="8" w:color="0000EE"/>
            </w:tcBorders>
            <w:gridSpan w:val="8"/>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and Notice of Exercise under the 2019 Equity Incentive Plan</w:t>
              </w:r>
            </w:hyperlink>
          </w:p>
        </w:tc>
        <w:tc>
          <w:tcPr>
            <w:tcW w:w="320" w:type="dxa"/>
            <w:vAlign w:val="bottom"/>
            <w:gridSpan w:val="7"/>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10.21 #  </w:t>
            </w:r>
            <w:hyperlink r:id="rId196">
              <w:r>
                <w:rPr>
                  <w:rFonts w:ascii="Times New Roman" w:cs="Times New Roman" w:eastAsia="Times New Roman" w:hAnsi="Times New Roman"/>
                  <w:sz w:val="18"/>
                  <w:szCs w:val="18"/>
                  <w:color w:val="0000EE"/>
                </w:rPr>
                <w:t>Form of Restricted Stock Unit Grant Notice and Restricted Stock</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24, 2019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50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Unit Award Agreement under the 2019 Equity Incentive Plan</w:t>
              </w:r>
            </w:hyperlink>
          </w:p>
        </w:tc>
        <w:tc>
          <w:tcPr>
            <w:tcW w:w="18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20" w:type="dxa"/>
            <w:vAlign w:val="bottom"/>
            <w:tcBorders>
              <w:right w:val="single" w:sz="8" w:color="0000EE"/>
            </w:tcBorders>
            <w:gridSpan w:val="8"/>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1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10.22 +  </w:t>
            </w:r>
            <w:hyperlink r:id="rId197">
              <w:r>
                <w:rPr>
                  <w:rFonts w:ascii="Times New Roman" w:cs="Times New Roman" w:eastAsia="Times New Roman" w:hAnsi="Times New Roman"/>
                  <w:sz w:val="18"/>
                  <w:szCs w:val="18"/>
                  <w:color w:val="0000EE"/>
                </w:rPr>
                <w:t>Manufacturing Services Agreement dated July 17, 2019, by and</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333-233717</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24, 2019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97">
              <w:r>
                <w:rPr>
                  <w:rFonts w:ascii="Times New Roman" w:cs="Times New Roman" w:eastAsia="Times New Roman" w:hAnsi="Times New Roman"/>
                  <w:sz w:val="18"/>
                  <w:szCs w:val="18"/>
                  <w:color w:val="0000EE"/>
                  <w:w w:val="98"/>
                </w:rPr>
                <w:t>between Vaxart, Inc. and Lonza Houston, Inc.</w:t>
              </w:r>
            </w:hyperlink>
          </w:p>
        </w:tc>
        <w:tc>
          <w:tcPr>
            <w:tcW w:w="1120" w:type="dxa"/>
            <w:vAlign w:val="bottom"/>
            <w:tcBorders>
              <w:top w:val="single" w:sz="8" w:color="0000EE"/>
            </w:tcBorders>
            <w:gridSpan w:val="15"/>
          </w:tcPr>
          <w:p>
            <w:pPr>
              <w:spacing w:after="0"/>
              <w:rPr>
                <w:sz w:val="17"/>
                <w:szCs w:val="17"/>
                <w:color w:val="auto"/>
              </w:rPr>
            </w:pPr>
          </w:p>
        </w:tc>
        <w:tc>
          <w:tcPr>
            <w:tcW w:w="280" w:type="dxa"/>
            <w:vAlign w:val="bottom"/>
            <w:gridSpan w:val="5"/>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10.23   </w:t>
            </w:r>
            <w:hyperlink r:id="rId198">
              <w:r>
                <w:rPr>
                  <w:rFonts w:ascii="Times New Roman" w:cs="Times New Roman" w:eastAsia="Times New Roman" w:hAnsi="Times New Roman"/>
                  <w:sz w:val="18"/>
                  <w:szCs w:val="18"/>
                  <w:color w:val="0000EE"/>
                </w:rPr>
                <w:t>First Amendment to Lease Agreement dated September 17,</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19, 2019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2019, by and between Vaxart, Inc. and HCP Inc.</w:t>
              </w:r>
            </w:hyperlink>
          </w:p>
        </w:tc>
        <w:tc>
          <w:tcPr>
            <w:tcW w:w="620" w:type="dxa"/>
            <w:vAlign w:val="bottom"/>
            <w:tcBorders>
              <w:top w:val="single" w:sz="8" w:color="0000EE"/>
            </w:tcBorders>
            <w:gridSpan w:val="4"/>
          </w:tcPr>
          <w:p>
            <w:pPr>
              <w:spacing w:after="0"/>
              <w:rPr>
                <w:sz w:val="17"/>
                <w:szCs w:val="17"/>
                <w:color w:val="auto"/>
              </w:rPr>
            </w:pPr>
          </w:p>
        </w:tc>
        <w:tc>
          <w:tcPr>
            <w:tcW w:w="600" w:type="dxa"/>
            <w:vAlign w:val="bottom"/>
            <w:gridSpan w:val="15"/>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10.24 #  </w:t>
            </w:r>
            <w:hyperlink r:id="rId199">
              <w:r>
                <w:rPr>
                  <w:rFonts w:ascii="Times New Roman" w:cs="Times New Roman" w:eastAsia="Times New Roman" w:hAnsi="Times New Roman"/>
                  <w:sz w:val="18"/>
                  <w:szCs w:val="18"/>
                  <w:color w:val="0000EE"/>
                </w:rPr>
                <w:t>Offer Letter, dated May 1, 2006, by and between the Company</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12,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3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and Dr. Sean Tucker</w:t>
              </w:r>
            </w:hyperlink>
          </w:p>
        </w:tc>
        <w:tc>
          <w:tcPr>
            <w:tcW w:w="340" w:type="dxa"/>
            <w:vAlign w:val="bottom"/>
            <w:gridSpan w:val="8"/>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10.25 #  </w:t>
            </w:r>
            <w:hyperlink r:id="rId200">
              <w:r>
                <w:rPr>
                  <w:rFonts w:ascii="Times New Roman" w:cs="Times New Roman" w:eastAsia="Times New Roman" w:hAnsi="Times New Roman"/>
                  <w:sz w:val="18"/>
                  <w:szCs w:val="18"/>
                  <w:color w:val="0000EE"/>
                </w:rPr>
                <w:t>Letter Agreement, dated June 14, 2020, between Vaxart, Inc. and</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June 15,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6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Andrei Floroiu</w:t>
              </w:r>
            </w:hyperlink>
          </w:p>
        </w:tc>
        <w:tc>
          <w:tcPr>
            <w:tcW w:w="20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1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10.26 +  </w:t>
            </w:r>
            <w:hyperlink r:id="rId201">
              <w:r>
                <w:rPr>
                  <w:rFonts w:ascii="Times New Roman" w:cs="Times New Roman" w:eastAsia="Times New Roman" w:hAnsi="Times New Roman"/>
                  <w:sz w:val="18"/>
                  <w:szCs w:val="18"/>
                  <w:color w:val="0000EE"/>
                </w:rPr>
                <w:t>Master Services Agreement, dated April 17, 2020, by and</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November 12,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between Vaxart, Inc. and Kindred Biosciences, Inc.</w:t>
              </w:r>
            </w:hyperlink>
          </w:p>
        </w:tc>
        <w:tc>
          <w:tcPr>
            <w:tcW w:w="720" w:type="dxa"/>
            <w:vAlign w:val="bottom"/>
            <w:gridSpan w:val="16"/>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2860" w:type="dxa"/>
            <w:vAlign w:val="bottom"/>
            <w:tcBorders>
              <w:right w:val="single" w:sz="8" w:color="0000EE"/>
            </w:tcBorders>
            <w:gridSpan w:val="1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1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10.27 +  </w:t>
            </w:r>
            <w:hyperlink r:id="rId202">
              <w:r>
                <w:rPr>
                  <w:rFonts w:ascii="Times New Roman" w:cs="Times New Roman" w:eastAsia="Times New Roman" w:hAnsi="Times New Roman"/>
                  <w:sz w:val="18"/>
                  <w:szCs w:val="18"/>
                  <w:color w:val="0000EE"/>
                </w:rPr>
                <w:t>Statement of Work 003, dated September 11, 2020, under the</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November 12,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Master Services Agreement, dated April 17, 2020, by and</w:t>
              </w:r>
            </w:hyperlink>
          </w:p>
        </w:tc>
        <w:tc>
          <w:tcPr>
            <w:tcW w:w="480" w:type="dxa"/>
            <w:vAlign w:val="bottom"/>
            <w:gridSpan w:val="11"/>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between Vaxart, Inc. and Kindred Biosciences, Inc.</w:t>
              </w:r>
            </w:hyperlink>
          </w:p>
        </w:tc>
        <w:tc>
          <w:tcPr>
            <w:tcW w:w="560" w:type="dxa"/>
            <w:vAlign w:val="bottom"/>
            <w:gridSpan w:val="13"/>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2860" w:type="dxa"/>
            <w:vAlign w:val="bottom"/>
            <w:tcBorders>
              <w:right w:val="single" w:sz="8" w:color="0000EE"/>
            </w:tcBorders>
            <w:gridSpan w:val="1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60" w:type="dxa"/>
            <w:vAlign w:val="bottom"/>
            <w:gridSpan w:val="1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1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10.28 +  </w:t>
            </w:r>
            <w:hyperlink r:id="rId203">
              <w:r>
                <w:rPr>
                  <w:rFonts w:ascii="Times New Roman" w:cs="Times New Roman" w:eastAsia="Times New Roman" w:hAnsi="Times New Roman"/>
                  <w:sz w:val="18"/>
                  <w:szCs w:val="18"/>
                  <w:color w:val="0000EE"/>
                </w:rPr>
                <w:t>Statement of Work 004, dated September 11, 2020, under the</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November 12,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Master Services Agreement, dated April 17, 2020, by and</w:t>
              </w:r>
            </w:hyperlink>
          </w:p>
        </w:tc>
        <w:tc>
          <w:tcPr>
            <w:tcW w:w="480" w:type="dxa"/>
            <w:vAlign w:val="bottom"/>
            <w:gridSpan w:val="11"/>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between Vaxart, Inc. and Kindred Biosciences, Inc.</w:t>
              </w:r>
            </w:hyperlink>
          </w:p>
        </w:tc>
        <w:tc>
          <w:tcPr>
            <w:tcW w:w="560" w:type="dxa"/>
            <w:vAlign w:val="bottom"/>
            <w:gridSpan w:val="13"/>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2860" w:type="dxa"/>
            <w:vAlign w:val="bottom"/>
            <w:tcBorders>
              <w:right w:val="single" w:sz="8" w:color="0000EE"/>
            </w:tcBorders>
            <w:gridSpan w:val="1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60" w:type="dxa"/>
            <w:vAlign w:val="bottom"/>
            <w:gridSpan w:val="1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10.29   </w:t>
            </w:r>
            <w:hyperlink r:id="rId204">
              <w:r>
                <w:rPr>
                  <w:rFonts w:ascii="Times New Roman" w:cs="Times New Roman" w:eastAsia="Times New Roman" w:hAnsi="Times New Roman"/>
                  <w:sz w:val="18"/>
                  <w:szCs w:val="18"/>
                  <w:color w:val="0000EE"/>
                </w:rPr>
                <w:t>Sublease Agreement dated November 16, 2020, by and between</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25, 2021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Vaxart, Inc. and Vera Therapeutics, Inc.</w:t>
              </w:r>
            </w:hyperlink>
          </w:p>
        </w:tc>
        <w:tc>
          <w:tcPr>
            <w:tcW w:w="26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Borders>
              <w:top w:val="single" w:sz="8" w:color="0000EE"/>
            </w:tcBorders>
            <w:gridSpan w:val="14"/>
          </w:tcPr>
          <w:p>
            <w:pPr>
              <w:spacing w:after="0"/>
              <w:rPr>
                <w:sz w:val="24"/>
                <w:szCs w:val="24"/>
                <w:color w:val="auto"/>
              </w:rPr>
            </w:pPr>
          </w:p>
        </w:tc>
        <w:tc>
          <w:tcPr>
            <w:tcW w:w="1820" w:type="dxa"/>
            <w:vAlign w:val="bottom"/>
            <w:gridSpan w:val="21"/>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5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Borders>
              <w:top w:val="single" w:sz="8" w:color="0000EE"/>
              <w:bottom w:val="single" w:sz="8" w:color="0000EE"/>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1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720" w:type="dxa"/>
            <w:vAlign w:val="bottom"/>
            <w:tcBorders>
              <w:bottom w:val="single" w:sz="8" w:color="auto"/>
            </w:tcBorders>
            <w:gridSpan w:val="49"/>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10.30</w:t>
            </w:r>
          </w:p>
        </w:tc>
        <w:tc>
          <w:tcPr>
            <w:tcW w:w="4460" w:type="dxa"/>
            <w:vAlign w:val="bottom"/>
            <w:tcBorders>
              <w:bottom w:val="single" w:sz="8" w:color="0000EE"/>
            </w:tcBorders>
            <w:gridSpan w:val="39"/>
          </w:tcPr>
          <w:p>
            <w:pPr>
              <w:spacing w:after="0" w:line="169"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Lease Agreement, dated September 17, 2021, by and between</w:t>
              </w:r>
            </w:hyperlink>
          </w:p>
        </w:tc>
        <w:tc>
          <w:tcPr>
            <w:tcW w:w="260" w:type="dxa"/>
            <w:vAlign w:val="bottom"/>
            <w:gridSpan w:val="10"/>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rPr>
              <w:t>September 21, 2021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Vaxart, Inc. and Britannia Pointe Grand Limited Partnership</w:t>
              </w:r>
            </w:hyperlink>
          </w:p>
        </w:tc>
        <w:tc>
          <w:tcPr>
            <w:tcW w:w="220" w:type="dxa"/>
            <w:vAlign w:val="bottom"/>
            <w:gridSpan w:val="8"/>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452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Second Amendment to Lease Agreement, dated September 17,</w:t>
              </w:r>
            </w:hyperlink>
          </w:p>
        </w:tc>
        <w:tc>
          <w:tcPr>
            <w:tcW w:w="200" w:type="dxa"/>
            <w:vAlign w:val="bottom"/>
            <w:gridSpan w:val="7"/>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21, 2021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2021, by and between Vaxart, Inc. and Healthpeak Properties,</w:t>
              </w:r>
            </w:hyperlink>
          </w:p>
        </w:tc>
        <w:tc>
          <w:tcPr>
            <w:tcW w:w="10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8"/>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Inc.</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10.32 #</w:t>
            </w: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Offer Letter, dated August 16, 2021, by and between the</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November 4, 2021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Company and James Cummings MD</w:t>
              </w:r>
            </w:hyperlink>
          </w:p>
        </w:tc>
        <w:tc>
          <w:tcPr>
            <w:tcW w:w="1220" w:type="dxa"/>
            <w:vAlign w:val="bottom"/>
            <w:tcBorders>
              <w:top w:val="single" w:sz="8" w:color="0000EE"/>
            </w:tcBorders>
            <w:gridSpan w:val="11"/>
          </w:tcPr>
          <w:p>
            <w:pPr>
              <w:spacing w:after="0"/>
              <w:rPr>
                <w:sz w:val="17"/>
                <w:szCs w:val="17"/>
                <w:color w:val="auto"/>
              </w:rPr>
            </w:pPr>
          </w:p>
        </w:tc>
        <w:tc>
          <w:tcPr>
            <w:tcW w:w="680" w:type="dxa"/>
            <w:vAlign w:val="bottom"/>
            <w:gridSpan w:val="19"/>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10.33 #</w:t>
            </w: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Offer letter, dated January 18, 2022, by and between the</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24, 2022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208">
              <w:r>
                <w:rPr>
                  <w:rFonts w:ascii="Times New Roman" w:cs="Times New Roman" w:eastAsia="Times New Roman" w:hAnsi="Times New Roman"/>
                  <w:sz w:val="18"/>
                  <w:szCs w:val="18"/>
                  <w:color w:val="0000EE"/>
                  <w:w w:val="98"/>
                </w:rPr>
                <w:t>Company and Edward Berg</w:t>
              </w:r>
            </w:hyperlink>
          </w:p>
        </w:tc>
        <w:tc>
          <w:tcPr>
            <w:tcW w:w="1860" w:type="dxa"/>
            <w:vAlign w:val="bottom"/>
            <w:tcBorders>
              <w:top w:val="single" w:sz="8" w:color="0000EE"/>
            </w:tcBorders>
            <w:gridSpan w:val="15"/>
          </w:tcPr>
          <w:p>
            <w:pPr>
              <w:spacing w:after="0"/>
              <w:rPr>
                <w:sz w:val="17"/>
                <w:szCs w:val="17"/>
                <w:color w:val="auto"/>
              </w:rPr>
            </w:pPr>
          </w:p>
        </w:tc>
        <w:tc>
          <w:tcPr>
            <w:tcW w:w="700" w:type="dxa"/>
            <w:vAlign w:val="bottom"/>
            <w:gridSpan w:val="20"/>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10.34 #</w:t>
            </w:r>
          </w:p>
        </w:tc>
        <w:tc>
          <w:tcPr>
            <w:tcW w:w="460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Non-Employee Director Compensation Program, effective as of</w:t>
              </w:r>
            </w:hyperlink>
          </w:p>
        </w:tc>
        <w:tc>
          <w:tcPr>
            <w:tcW w:w="120" w:type="dxa"/>
            <w:vAlign w:val="bottom"/>
            <w:gridSpan w:val="5"/>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May 9, 2022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209">
              <w:r>
                <w:rPr>
                  <w:rFonts w:ascii="Times New Roman" w:cs="Times New Roman" w:eastAsia="Times New Roman" w:hAnsi="Times New Roman"/>
                  <w:sz w:val="18"/>
                  <w:szCs w:val="18"/>
                  <w:color w:val="0000EE"/>
                  <w:w w:val="97"/>
                </w:rPr>
                <w:t>April 1, 2022</w:t>
              </w:r>
            </w:hyperlink>
          </w:p>
        </w:tc>
        <w:tc>
          <w:tcPr>
            <w:tcW w:w="3600" w:type="dxa"/>
            <w:vAlign w:val="bottom"/>
            <w:gridSpan w:val="43"/>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10.35 #</w:t>
            </w:r>
          </w:p>
        </w:tc>
        <w:tc>
          <w:tcPr>
            <w:tcW w:w="460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Non-Employee Director Compensation Program, effective as of</w:t>
              </w:r>
            </w:hyperlink>
          </w:p>
        </w:tc>
        <w:tc>
          <w:tcPr>
            <w:tcW w:w="120" w:type="dxa"/>
            <w:vAlign w:val="bottom"/>
            <w:gridSpan w:val="5"/>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August 8,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210">
              <w:r>
                <w:rPr>
                  <w:rFonts w:ascii="Times New Roman" w:cs="Times New Roman" w:eastAsia="Times New Roman" w:hAnsi="Times New Roman"/>
                  <w:sz w:val="18"/>
                  <w:szCs w:val="18"/>
                  <w:color w:val="0000EE"/>
                  <w:w w:val="97"/>
                </w:rPr>
                <w:t>April 1, 2024</w:t>
              </w:r>
            </w:hyperlink>
          </w:p>
        </w:tc>
        <w:tc>
          <w:tcPr>
            <w:tcW w:w="3600" w:type="dxa"/>
            <w:vAlign w:val="bottom"/>
            <w:gridSpan w:val="43"/>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10.36 +</w:t>
            </w:r>
          </w:p>
        </w:tc>
        <w:tc>
          <w:tcPr>
            <w:tcW w:w="452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Pre-Challenge Study Services Agreement dated June 29, 2022,</w:t>
              </w:r>
            </w:hyperlink>
          </w:p>
        </w:tc>
        <w:tc>
          <w:tcPr>
            <w:tcW w:w="200" w:type="dxa"/>
            <w:vAlign w:val="bottom"/>
            <w:gridSpan w:val="7"/>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August 8, 2022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7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between the Company and hVIVO Services Limited</w:t>
              </w:r>
            </w:hyperlink>
          </w:p>
        </w:tc>
        <w:tc>
          <w:tcPr>
            <w:tcW w:w="960" w:type="dxa"/>
            <w:vAlign w:val="bottom"/>
            <w:gridSpan w:val="25"/>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10.37 #</w:t>
            </w:r>
          </w:p>
        </w:tc>
        <w:tc>
          <w:tcPr>
            <w:tcW w:w="19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212">
              <w:r>
                <w:rPr>
                  <w:rFonts w:ascii="Times New Roman" w:cs="Times New Roman" w:eastAsia="Times New Roman" w:hAnsi="Times New Roman"/>
                  <w:sz w:val="18"/>
                  <w:szCs w:val="18"/>
                  <w:color w:val="0000EE"/>
                  <w:w w:val="98"/>
                </w:rPr>
                <w:t>2019 Equity Incentive Plan</w:t>
              </w:r>
            </w:hyperlink>
          </w:p>
        </w:tc>
        <w:tc>
          <w:tcPr>
            <w:tcW w:w="2760" w:type="dxa"/>
            <w:vAlign w:val="bottom"/>
            <w:gridSpan w:val="37"/>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June 13, 2024</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10.38 #</w:t>
            </w: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2022 Employee Stock Purchase Plan</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June 13, 2024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10.39 #</w:t>
            </w:r>
          </w:p>
        </w:tc>
        <w:tc>
          <w:tcPr>
            <w:tcW w:w="41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Offer Letter, dated December 5, 2022, by and between the</w:t>
              </w:r>
            </w:hyperlink>
          </w:p>
        </w:tc>
        <w:tc>
          <w:tcPr>
            <w:tcW w:w="540" w:type="dxa"/>
            <w:vAlign w:val="bottom"/>
            <w:gridSpan w:val="16"/>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10.53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March 15, 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Company and Phillip Lee</w:t>
              </w:r>
            </w:hyperlink>
          </w:p>
        </w:tc>
        <w:tc>
          <w:tcPr>
            <w:tcW w:w="2880" w:type="dxa"/>
            <w:vAlign w:val="bottom"/>
            <w:gridSpan w:val="40"/>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10.40 #</w:t>
            </w:r>
          </w:p>
        </w:tc>
        <w:tc>
          <w:tcPr>
            <w:tcW w:w="448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Amendment to Letter Agreement dated May 2, 2023, between</w:t>
              </w:r>
            </w:hyperlink>
          </w:p>
        </w:tc>
        <w:tc>
          <w:tcPr>
            <w:tcW w:w="240" w:type="dxa"/>
            <w:vAlign w:val="bottom"/>
            <w:gridSpan w:val="9"/>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May 4, 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15">
              <w:r>
                <w:rPr>
                  <w:rFonts w:ascii="Times New Roman" w:cs="Times New Roman" w:eastAsia="Times New Roman" w:hAnsi="Times New Roman"/>
                  <w:sz w:val="18"/>
                  <w:szCs w:val="18"/>
                  <w:color w:val="0000EE"/>
                  <w:w w:val="98"/>
                </w:rPr>
                <w:t>Andrei Floroiu and Vaxart, Inc.</w:t>
              </w:r>
            </w:hyperlink>
          </w:p>
        </w:tc>
        <w:tc>
          <w:tcPr>
            <w:tcW w:w="2460" w:type="dxa"/>
            <w:vAlign w:val="bottom"/>
            <w:gridSpan w:val="3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10.41 #</w:t>
            </w: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Amendment to the Vaxart, Inc. Severance Benefit Plan dated</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May 4, 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6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May 2, 2023</w:t>
              </w:r>
            </w:hyperlink>
          </w:p>
        </w:tc>
        <w:tc>
          <w:tcPr>
            <w:tcW w:w="360" w:type="dxa"/>
            <w:vAlign w:val="bottom"/>
            <w:gridSpan w:val="12"/>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10.42 #</w:t>
            </w:r>
          </w:p>
        </w:tc>
        <w:tc>
          <w:tcPr>
            <w:tcW w:w="460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Letter Agreement, dated January 16, 2024, between Vaxart, Inc.</w:t>
              </w:r>
            </w:hyperlink>
          </w:p>
        </w:tc>
        <w:tc>
          <w:tcPr>
            <w:tcW w:w="120" w:type="dxa"/>
            <w:vAlign w:val="bottom"/>
            <w:gridSpan w:val="5"/>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January 16,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and Michael J. Finney</w:t>
              </w:r>
            </w:hyperlink>
          </w:p>
        </w:tc>
        <w:tc>
          <w:tcPr>
            <w:tcW w:w="3120" w:type="dxa"/>
            <w:vAlign w:val="bottom"/>
            <w:gridSpan w:val="41"/>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10.43</w:t>
            </w: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ASPR-BARDA Award/Contract, dated January 12, 2024,</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10.59</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8"/>
              </w:rPr>
            </w:pPr>
            <w:hyperlink r:id="rId218">
              <w:r>
                <w:rPr>
                  <w:rFonts w:ascii="Times New Roman" w:cs="Times New Roman" w:eastAsia="Times New Roman" w:hAnsi="Times New Roman"/>
                  <w:sz w:val="18"/>
                  <w:szCs w:val="18"/>
                  <w:color w:val="0000EE"/>
                  <w:w w:val="98"/>
                </w:rPr>
                <w:t>between Vaxart, Inc. and the U.S. Government through the</w:t>
              </w:r>
            </w:hyperlink>
          </w:p>
        </w:tc>
        <w:tc>
          <w:tcPr>
            <w:tcW w:w="500" w:type="dxa"/>
            <w:vAlign w:val="bottom"/>
            <w:gridSpan w:val="15"/>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1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Department of Health and Human Services</w:t>
              </w:r>
            </w:hyperlink>
          </w:p>
        </w:tc>
        <w:tc>
          <w:tcPr>
            <w:tcW w:w="1620" w:type="dxa"/>
            <w:vAlign w:val="bottom"/>
            <w:gridSpan w:val="26"/>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10.44</w:t>
            </w:r>
          </w:p>
        </w:tc>
        <w:tc>
          <w:tcPr>
            <w:tcW w:w="4580" w:type="dxa"/>
            <w:vAlign w:val="bottom"/>
            <w:tcBorders>
              <w:bottom w:val="single" w:sz="8" w:color="0000EE"/>
            </w:tcBorders>
            <w:gridSpan w:val="43"/>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Securities Purchase Agreement, dated January 16, 2024, by and</w:t>
              </w:r>
            </w:hyperlink>
          </w:p>
        </w:tc>
        <w:tc>
          <w:tcPr>
            <w:tcW w:w="140" w:type="dxa"/>
            <w:vAlign w:val="bottom"/>
            <w:gridSpan w:val="6"/>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January 16,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between Vaxart, Inc. and RA Capital Healthcare Fund, L.P.</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10.45 #</w:t>
            </w: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Separation Agreement, dated January 31, 2024, by and between</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February 2,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580" w:type="dxa"/>
            <w:vAlign w:val="bottom"/>
            <w:tcBorders>
              <w:top w:val="single" w:sz="8" w:color="0000EE"/>
            </w:tcBorders>
            <w:gridSpan w:val="4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the Company and Andrei Floroiu</w:t>
              </w:r>
            </w:hyperlink>
          </w:p>
        </w:tc>
        <w:tc>
          <w:tcPr>
            <w:tcW w:w="140" w:type="dxa"/>
            <w:vAlign w:val="bottom"/>
            <w:gridSpan w:val="6"/>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10.46 #</w:t>
            </w: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Vaxart, Inc. 2024 Inducement Award Plan</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10.47 #</w:t>
            </w:r>
          </w:p>
        </w:tc>
        <w:tc>
          <w:tcPr>
            <w:tcW w:w="450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color w:val="0000EE"/>
                <w:w w:val="98"/>
              </w:rPr>
            </w:pPr>
            <w:hyperlink r:id="rId222">
              <w:r>
                <w:rPr>
                  <w:rFonts w:ascii="Times New Roman" w:cs="Times New Roman" w:eastAsia="Times New Roman" w:hAnsi="Times New Roman"/>
                  <w:sz w:val="18"/>
                  <w:szCs w:val="18"/>
                  <w:color w:val="0000EE"/>
                  <w:w w:val="98"/>
                </w:rPr>
                <w:t>Form of Restricted Stock Unit Award Grant Notice and Award</w:t>
              </w:r>
            </w:hyperlink>
          </w:p>
        </w:tc>
        <w:tc>
          <w:tcPr>
            <w:tcW w:w="220" w:type="dxa"/>
            <w:vAlign w:val="bottom"/>
            <w:gridSpan w:val="8"/>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222">
              <w:r>
                <w:rPr>
                  <w:rFonts w:ascii="Times New Roman" w:cs="Times New Roman" w:eastAsia="Times New Roman" w:hAnsi="Times New Roman"/>
                  <w:sz w:val="18"/>
                  <w:szCs w:val="18"/>
                  <w:color w:val="0000EE"/>
                  <w:w w:val="97"/>
                </w:rPr>
                <w:t>Agreement</w:t>
              </w:r>
            </w:hyperlink>
          </w:p>
        </w:tc>
        <w:tc>
          <w:tcPr>
            <w:tcW w:w="3920" w:type="dxa"/>
            <w:vAlign w:val="bottom"/>
            <w:gridSpan w:val="45"/>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10.48 #</w:t>
            </w:r>
          </w:p>
        </w:tc>
        <w:tc>
          <w:tcPr>
            <w:tcW w:w="4720" w:type="dxa"/>
            <w:vAlign w:val="bottom"/>
            <w:tcBorders>
              <w:bottom w:val="single" w:sz="8" w:color="0000EE"/>
            </w:tcBorders>
            <w:gridSpan w:val="49"/>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Form of Stock Option Grant Notice and Stock Option Agreement</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10.49 #</w:t>
            </w:r>
          </w:p>
        </w:tc>
        <w:tc>
          <w:tcPr>
            <w:tcW w:w="39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224">
              <w:r>
                <w:rPr>
                  <w:rFonts w:ascii="Times New Roman" w:cs="Times New Roman" w:eastAsia="Times New Roman" w:hAnsi="Times New Roman"/>
                  <w:sz w:val="18"/>
                  <w:szCs w:val="18"/>
                  <w:color w:val="0000EE"/>
                  <w:w w:val="98"/>
                </w:rPr>
                <w:t>Letter Agreement, between Vaxart, Inc. and Steven Lo</w:t>
              </w:r>
            </w:hyperlink>
          </w:p>
        </w:tc>
        <w:tc>
          <w:tcPr>
            <w:tcW w:w="800" w:type="dxa"/>
            <w:vAlign w:val="bottom"/>
            <w:gridSpan w:val="22"/>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March 6, 2024</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10.50 ^</w:t>
            </w:r>
          </w:p>
        </w:tc>
        <w:tc>
          <w:tcPr>
            <w:tcW w:w="4700" w:type="dxa"/>
            <w:vAlign w:val="bottom"/>
            <w:tcBorders>
              <w:bottom w:val="single" w:sz="8" w:color="0000EE"/>
            </w:tcBorders>
            <w:gridSpan w:val="48"/>
          </w:tcPr>
          <w:p>
            <w:pPr>
              <w:spacing w:after="0" w:line="196" w:lineRule="exact"/>
              <w:rPr>
                <w:rFonts w:ascii="Times New Roman" w:cs="Times New Roman" w:eastAsia="Times New Roman" w:hAnsi="Times New Roman"/>
                <w:sz w:val="18"/>
                <w:szCs w:val="18"/>
                <w:color w:val="0000EE"/>
                <w:w w:val="98"/>
              </w:rPr>
            </w:pPr>
            <w:hyperlink r:id="rId225">
              <w:r>
                <w:rPr>
                  <w:rFonts w:ascii="Times New Roman" w:cs="Times New Roman" w:eastAsia="Times New Roman" w:hAnsi="Times New Roman"/>
                  <w:sz w:val="18"/>
                  <w:szCs w:val="18"/>
                  <w:color w:val="0000EE"/>
                  <w:w w:val="98"/>
                </w:rPr>
                <w:t>ATI-RRPV Base Agreement, dated May 6, 2024, between Vaxart</w:t>
              </w:r>
            </w:hyperlink>
          </w:p>
        </w:tc>
        <w:tc>
          <w:tcPr>
            <w:tcW w:w="2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August 8,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49"/>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Biosciences Inc. and Advanced Technology International (RRPV</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80" w:type="dxa"/>
            <w:vAlign w:val="bottom"/>
            <w:tcBorders>
              <w:top w:val="single" w:sz="8" w:color="0000EE"/>
            </w:tcBorders>
            <w:gridSpan w:val="47"/>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Consortium Management Firm)</w:t>
              </w:r>
            </w:hyperlink>
          </w:p>
        </w:tc>
        <w:tc>
          <w:tcPr>
            <w:tcW w:w="40" w:type="dxa"/>
            <w:vAlign w:val="bottom"/>
            <w:gridSpan w:val="2"/>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10.51 ^</w:t>
            </w: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ATI-RRPV Project Award Agreement No. 001, dated June 13,</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August 8,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226">
              <w:r>
                <w:rPr>
                  <w:rFonts w:ascii="Times New Roman" w:cs="Times New Roman" w:eastAsia="Times New Roman" w:hAnsi="Times New Roman"/>
                  <w:sz w:val="18"/>
                  <w:szCs w:val="18"/>
                  <w:color w:val="0000EE"/>
                  <w:w w:val="98"/>
                </w:rPr>
                <w:t>2024, between Vaxart Biosciences Inc. and Advanced</w:t>
              </w:r>
            </w:hyperlink>
          </w:p>
        </w:tc>
        <w:tc>
          <w:tcPr>
            <w:tcW w:w="600" w:type="dxa"/>
            <w:vAlign w:val="bottom"/>
            <w:tcBorders>
              <w:top w:val="single" w:sz="8" w:color="0000EE"/>
            </w:tcBorders>
            <w:gridSpan w:val="14"/>
          </w:tcPr>
          <w:p>
            <w:pPr>
              <w:spacing w:after="0"/>
              <w:rPr>
                <w:sz w:val="17"/>
                <w:szCs w:val="17"/>
                <w:color w:val="auto"/>
              </w:rPr>
            </w:pPr>
          </w:p>
        </w:tc>
        <w:tc>
          <w:tcPr>
            <w:tcW w:w="260" w:type="dxa"/>
            <w:vAlign w:val="bottom"/>
            <w:gridSpan w:val="10"/>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tcBorders>
              <w:bottom w:val="single" w:sz="8" w:color="0000EE"/>
            </w:tcBorders>
            <w:gridSpan w:val="49"/>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Technology International (RRPV Consortium Management Firm)</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10.52 ^</w:t>
            </w:r>
          </w:p>
        </w:tc>
        <w:tc>
          <w:tcPr>
            <w:tcW w:w="4700" w:type="dxa"/>
            <w:vAlign w:val="bottom"/>
            <w:tcBorders>
              <w:bottom w:val="single" w:sz="8" w:color="0000EE"/>
            </w:tcBorders>
            <w:gridSpan w:val="48"/>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Modification No. 3, dated September 27, 2024, to the ATI-RRPV</w:t>
              </w:r>
            </w:hyperlink>
          </w:p>
        </w:tc>
        <w:tc>
          <w:tcPr>
            <w:tcW w:w="2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November 13,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tcBorders>
              <w:bottom w:val="single" w:sz="8" w:color="0000EE"/>
            </w:tcBorders>
            <w:gridSpan w:val="49"/>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Project Award Agreement No. 001, dated June 13, 2024, between</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Vaxart Biosciences Inc. and Advanced Technology International</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(RRPV Consortium Management Firm)</w:t>
              </w:r>
            </w:hyperlink>
          </w:p>
        </w:tc>
        <w:tc>
          <w:tcPr>
            <w:tcW w:w="1760" w:type="dxa"/>
            <w:vAlign w:val="bottom"/>
            <w:tcBorders>
              <w:top w:val="single" w:sz="8" w:color="0000EE"/>
            </w:tcBorders>
            <w:gridSpan w:val="25"/>
          </w:tcPr>
          <w:p>
            <w:pPr>
              <w:spacing w:after="0"/>
              <w:rPr>
                <w:sz w:val="17"/>
                <w:szCs w:val="17"/>
                <w:color w:val="auto"/>
              </w:rPr>
            </w:pPr>
          </w:p>
        </w:tc>
        <w:tc>
          <w:tcPr>
            <w:tcW w:w="10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10.53 ^</w:t>
            </w:r>
          </w:p>
        </w:tc>
        <w:tc>
          <w:tcPr>
            <w:tcW w:w="47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Modification No. 4, dated December 20, 2024, to the ATI-RRPV</w:t>
            </w: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10.53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tcBorders>
              <w:bottom w:val="single" w:sz="8" w:color="0000EE"/>
            </w:tcBorders>
            <w:gridSpan w:val="49"/>
          </w:tcPr>
          <w:p>
            <w:pPr>
              <w:spacing w:after="0" w:line="196" w:lineRule="exact"/>
              <w:rPr>
                <w:sz w:val="20"/>
                <w:szCs w:val="20"/>
                <w:color w:val="auto"/>
              </w:rPr>
            </w:pPr>
            <w:r>
              <w:rPr>
                <w:rFonts w:ascii="Times New Roman" w:cs="Times New Roman" w:eastAsia="Times New Roman" w:hAnsi="Times New Roman"/>
                <w:sz w:val="18"/>
                <w:szCs w:val="18"/>
                <w:color w:val="0000EE"/>
                <w:w w:val="99"/>
              </w:rPr>
              <w:t>Project Award Agreement No. 001, dated June 13, 2024, between</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Vaxart Biosciences Inc. and Advanced Technology International</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(RRPV Consortium Management Firm)</w:t>
            </w:r>
          </w:p>
        </w:tc>
        <w:tc>
          <w:tcPr>
            <w:tcW w:w="1760" w:type="dxa"/>
            <w:vAlign w:val="bottom"/>
            <w:tcBorders>
              <w:top w:val="single" w:sz="8" w:color="0000EE"/>
            </w:tcBorders>
            <w:gridSpan w:val="25"/>
          </w:tcPr>
          <w:p>
            <w:pPr>
              <w:spacing w:after="0"/>
              <w:rPr>
                <w:sz w:val="17"/>
                <w:szCs w:val="17"/>
                <w:color w:val="auto"/>
              </w:rPr>
            </w:pPr>
          </w:p>
        </w:tc>
        <w:tc>
          <w:tcPr>
            <w:tcW w:w="10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10.54 ^</w:t>
            </w: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Modification No. 5, dated February 7, 2025, to the ATI-RRPV</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tcBorders>
              <w:bottom w:val="single" w:sz="8" w:color="0000EE"/>
            </w:tcBorders>
            <w:gridSpan w:val="49"/>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Project Award Agreement No. 001, dated June 13, 2024, between</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Vaxart Biosciences Inc. and Advanced Technology International</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(RRPV Consortium Management Firm)</w:t>
              </w:r>
            </w:hyperlink>
          </w:p>
        </w:tc>
        <w:tc>
          <w:tcPr>
            <w:tcW w:w="1760" w:type="dxa"/>
            <w:vAlign w:val="bottom"/>
            <w:tcBorders>
              <w:top w:val="single" w:sz="8" w:color="0000EE"/>
            </w:tcBorders>
            <w:gridSpan w:val="25"/>
          </w:tcPr>
          <w:p>
            <w:pPr>
              <w:spacing w:after="0"/>
              <w:rPr>
                <w:sz w:val="17"/>
                <w:szCs w:val="17"/>
                <w:color w:val="auto"/>
              </w:rPr>
            </w:pPr>
          </w:p>
        </w:tc>
        <w:tc>
          <w:tcPr>
            <w:tcW w:w="10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10.55</w:t>
            </w: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Exclusive License and Collaboration Agreement, dated</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November 13, 2025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96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November 4, 2025, between Vaxart, Inc. and Dynavax</w:t>
              </w:r>
            </w:hyperlink>
          </w:p>
        </w:tc>
        <w:tc>
          <w:tcPr>
            <w:tcW w:w="760" w:type="dxa"/>
            <w:vAlign w:val="bottom"/>
            <w:gridSpan w:val="21"/>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29">
              <w:r>
                <w:rPr>
                  <w:rFonts w:ascii="Times New Roman" w:cs="Times New Roman" w:eastAsia="Times New Roman" w:hAnsi="Times New Roman"/>
                  <w:sz w:val="18"/>
                  <w:szCs w:val="18"/>
                  <w:color w:val="0000EE"/>
                  <w:w w:val="98"/>
                </w:rPr>
                <w:t>Technologies Corporation.</w:t>
              </w:r>
            </w:hyperlink>
          </w:p>
        </w:tc>
        <w:tc>
          <w:tcPr>
            <w:tcW w:w="1980" w:type="dxa"/>
            <w:vAlign w:val="bottom"/>
            <w:tcBorders>
              <w:top w:val="single" w:sz="8" w:color="0000EE"/>
            </w:tcBorders>
            <w:gridSpan w:val="15"/>
          </w:tcPr>
          <w:p>
            <w:pPr>
              <w:spacing w:after="0"/>
              <w:rPr>
                <w:sz w:val="17"/>
                <w:szCs w:val="17"/>
                <w:color w:val="auto"/>
              </w:rPr>
            </w:pPr>
          </w:p>
        </w:tc>
        <w:tc>
          <w:tcPr>
            <w:tcW w:w="820" w:type="dxa"/>
            <w:vAlign w:val="bottom"/>
            <w:gridSpan w:val="23"/>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10.56</w:t>
            </w:r>
          </w:p>
        </w:tc>
        <w:tc>
          <w:tcPr>
            <w:tcW w:w="41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Securities Purchase Agreement, dated November 4, 2025,</w:t>
              </w:r>
            </w:hyperlink>
          </w:p>
        </w:tc>
        <w:tc>
          <w:tcPr>
            <w:tcW w:w="560" w:type="dxa"/>
            <w:vAlign w:val="bottom"/>
            <w:gridSpan w:val="17"/>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November 13, 2025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44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8"/>
              </w:rPr>
            </w:pPr>
            <w:hyperlink r:id="rId230">
              <w:r>
                <w:rPr>
                  <w:rFonts w:ascii="Times New Roman" w:cs="Times New Roman" w:eastAsia="Times New Roman" w:hAnsi="Times New Roman"/>
                  <w:sz w:val="18"/>
                  <w:szCs w:val="18"/>
                  <w:color w:val="0000EE"/>
                  <w:w w:val="98"/>
                </w:rPr>
                <w:t>between Vaxart, Inc. and Dynavax Technologies Corporation.</w:t>
              </w:r>
            </w:hyperlink>
          </w:p>
        </w:tc>
        <w:tc>
          <w:tcPr>
            <w:tcW w:w="280" w:type="dxa"/>
            <w:vAlign w:val="bottom"/>
            <w:gridSpan w:val="11"/>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10.57*</w:t>
            </w:r>
          </w:p>
        </w:tc>
        <w:tc>
          <w:tcPr>
            <w:tcW w:w="4700" w:type="dxa"/>
            <w:vAlign w:val="bottom"/>
            <w:tcBorders>
              <w:bottom w:val="single" w:sz="8" w:color="0000EE"/>
            </w:tcBorders>
            <w:gridSpan w:val="48"/>
          </w:tcPr>
          <w:p>
            <w:pPr>
              <w:spacing w:after="0" w:line="196" w:lineRule="exact"/>
              <w:rPr>
                <w:sz w:val="20"/>
                <w:szCs w:val="20"/>
                <w:color w:val="auto"/>
              </w:rPr>
            </w:pPr>
            <w:r>
              <w:rPr>
                <w:rFonts w:ascii="Times New Roman" w:cs="Times New Roman" w:eastAsia="Times New Roman" w:hAnsi="Times New Roman"/>
                <w:sz w:val="18"/>
                <w:szCs w:val="18"/>
                <w:color w:val="0000EE"/>
                <w:w w:val="99"/>
              </w:rPr>
              <w:t>Lease Termination Agreement, dated December 18, 2025, by and</w:t>
            </w: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between Vaxart, Inc. and Britannia Pointe Grand Limited</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Partnership.</w:t>
            </w:r>
          </w:p>
        </w:tc>
        <w:tc>
          <w:tcPr>
            <w:tcW w:w="3220" w:type="dxa"/>
            <w:vAlign w:val="bottom"/>
            <w:tcBorders>
              <w:top w:val="single" w:sz="8" w:color="0000EE"/>
            </w:tcBorders>
            <w:gridSpan w:val="26"/>
          </w:tcPr>
          <w:p>
            <w:pPr>
              <w:spacing w:after="0"/>
              <w:rPr>
                <w:sz w:val="17"/>
                <w:szCs w:val="17"/>
                <w:color w:val="auto"/>
              </w:rPr>
            </w:pPr>
          </w:p>
        </w:tc>
        <w:tc>
          <w:tcPr>
            <w:tcW w:w="600" w:type="dxa"/>
            <w:vAlign w:val="bottom"/>
            <w:gridSpan w:val="18"/>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Code of Conduct</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14.1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May 4, 2023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1400" w:type="dxa"/>
            <w:vAlign w:val="bottom"/>
            <w:gridSpan w:val="1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4700" w:type="dxa"/>
            <w:vAlign w:val="bottom"/>
            <w:tcBorders>
              <w:bottom w:val="single" w:sz="8" w:color="0000EE"/>
            </w:tcBorders>
            <w:gridSpan w:val="48"/>
          </w:tcPr>
          <w:p>
            <w:pPr>
              <w:spacing w:after="0" w:line="196" w:lineRule="exact"/>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Insider Trading and Securities Law Compliance Policy of Vaxart,</w:t>
              </w:r>
            </w:hyperlink>
          </w:p>
        </w:tc>
        <w:tc>
          <w:tcPr>
            <w:tcW w:w="2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19.1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March 14,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49"/>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Inc., last amended as of March 12, 2024</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21.1 *</w:t>
            </w:r>
          </w:p>
        </w:tc>
        <w:tc>
          <w:tcPr>
            <w:tcW w:w="21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Subsidiaries of the Registrant</w:t>
            </w:r>
          </w:p>
        </w:tc>
        <w:tc>
          <w:tcPr>
            <w:tcW w:w="760" w:type="dxa"/>
            <w:vAlign w:val="bottom"/>
            <w:tcBorders>
              <w:top w:val="single" w:sz="8" w:color="0000EE"/>
            </w:tcBorders>
            <w:gridSpan w:val="8"/>
          </w:tcPr>
          <w:p>
            <w:pPr>
              <w:spacing w:after="0"/>
              <w:rPr>
                <w:sz w:val="17"/>
                <w:szCs w:val="17"/>
                <w:color w:val="auto"/>
              </w:rPr>
            </w:pPr>
          </w:p>
        </w:tc>
        <w:tc>
          <w:tcPr>
            <w:tcW w:w="1840" w:type="dxa"/>
            <w:vAlign w:val="bottom"/>
            <w:gridSpan w:val="28"/>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23.1 *</w:t>
            </w:r>
          </w:p>
        </w:tc>
        <w:tc>
          <w:tcPr>
            <w:tcW w:w="47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Consent of WithumSmith+Brown, PC, Independent Registered</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7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Public Accounting Firm</w:t>
            </w:r>
          </w:p>
        </w:tc>
        <w:tc>
          <w:tcPr>
            <w:tcW w:w="2620" w:type="dxa"/>
            <w:vAlign w:val="bottom"/>
            <w:tcBorders>
              <w:top w:val="single" w:sz="8" w:color="0000EE"/>
            </w:tcBorders>
            <w:gridSpan w:val="32"/>
          </w:tcPr>
          <w:p>
            <w:pPr>
              <w:spacing w:after="0"/>
              <w:rPr>
                <w:sz w:val="17"/>
                <w:szCs w:val="17"/>
                <w:color w:val="auto"/>
              </w:rPr>
            </w:pPr>
          </w:p>
        </w:tc>
        <w:tc>
          <w:tcPr>
            <w:tcW w:w="200" w:type="dxa"/>
            <w:vAlign w:val="bottom"/>
            <w:gridSpan w:val="7"/>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24.1 *</w:t>
            </w:r>
          </w:p>
        </w:tc>
        <w:tc>
          <w:tcPr>
            <w:tcW w:w="428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Reference is made to the signature page</w:t>
            </w:r>
          </w:p>
        </w:tc>
        <w:tc>
          <w:tcPr>
            <w:tcW w:w="440" w:type="dxa"/>
            <w:vAlign w:val="bottom"/>
            <w:gridSpan w:val="13"/>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hereto</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8" w:right="339" w:bottom="0" w:gutter="0" w:footer="0" w:header="0"/>
        </w:sectPr>
      </w:pPr>
    </w:p>
    <w:bookmarkStart w:id="144" w:name="page145"/>
    <w:bookmarkEnd w:id="144"/>
    <w:p>
      <w:pPr>
        <w:ind w:left="680" w:right="4799" w:hanging="816"/>
        <w:spacing w:after="0" w:line="257" w:lineRule="auto"/>
        <w:tabs>
          <w:tab w:leader="none" w:pos="6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 pursuant to Exchange Act Rule, 13a-14(a) and 15d-14(a), as adopted pursuant to Section 302 of the Sarbanes-Oxley Act of 2002</w:t>
      </w:r>
    </w:p>
    <w:p>
      <w:pPr>
        <w:spacing w:after="0" w:line="1" w:lineRule="exact"/>
        <w:rPr>
          <w:sz w:val="20"/>
          <w:szCs w:val="20"/>
          <w:color w:val="auto"/>
        </w:rPr>
      </w:pPr>
    </w:p>
    <w:p>
      <w:pPr>
        <w:ind w:left="680" w:right="4539" w:hanging="838"/>
        <w:spacing w:after="0" w:line="250" w:lineRule="auto"/>
        <w:tabs>
          <w:tab w:leader="none" w:pos="660" w:val="left"/>
        </w:tabs>
        <w:rPr>
          <w:sz w:val="20"/>
          <w:szCs w:val="20"/>
          <w:color w:val="auto"/>
        </w:rPr>
      </w:pPr>
      <w:r>
        <w:rPr>
          <w:rFonts w:ascii="Times New Roman" w:cs="Times New Roman" w:eastAsia="Times New Roman" w:hAnsi="Times New Roman"/>
          <w:sz w:val="18"/>
          <w:szCs w:val="18"/>
          <w:color w:val="auto"/>
        </w:rPr>
        <w:t>31.2 *</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 pursuant to Exchange Act Rule, 13a-14(a) and 15d-14(a), as adopted pursuant to Section 302 of the Sarbanes-Oxley Act of 2002</w:t>
      </w:r>
    </w:p>
    <w:p>
      <w:pPr>
        <w:spacing w:after="0" w:line="1" w:lineRule="exact"/>
        <w:rPr>
          <w:sz w:val="20"/>
          <w:szCs w:val="20"/>
          <w:color w:val="auto"/>
        </w:rPr>
      </w:pPr>
    </w:p>
    <w:p>
      <w:pPr>
        <w:ind w:left="680" w:right="4659" w:hanging="838"/>
        <w:spacing w:after="0" w:line="253" w:lineRule="auto"/>
        <w:tabs>
          <w:tab w:leader="none" w:pos="660" w:val="left"/>
        </w:tabs>
        <w:rPr>
          <w:sz w:val="20"/>
          <w:szCs w:val="20"/>
          <w:color w:val="auto"/>
        </w:rPr>
      </w:pPr>
      <w:r>
        <w:rPr>
          <w:rFonts w:ascii="Times New Roman" w:cs="Times New Roman" w:eastAsia="Times New Roman" w:hAnsi="Times New Roman"/>
          <w:sz w:val="18"/>
          <w:szCs w:val="18"/>
          <w:color w:val="auto"/>
        </w:rPr>
        <w:t>32.1 §</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and Financial Officer pursuant to Rule 13a-14(b) of the Securities Exchange Act of 1934, as amended, and 18 U.S.C. Section 1350, as adopted pursuant to Section 906 of the Sarbanes-Oxley Act of 2002</w:t>
      </w:r>
    </w:p>
    <w:p>
      <w:pPr>
        <w:spacing w:after="0" w:line="18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99"/>
          </w:cols>
          <w:pgMar w:left="560" w:top="121"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56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40" w:type="dxa"/>
            <w:vAlign w:val="bottom"/>
            <w:tcBorders>
              <w:top w:val="single" w:sz="8" w:color="0000EE"/>
              <w:bottom w:val="single" w:sz="8" w:color="0000EE"/>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1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8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800" w:type="dxa"/>
            <w:vAlign w:val="bottom"/>
            <w:gridSpan w:val="6"/>
          </w:tcPr>
          <w:p>
            <w:pPr>
              <w:ind w:left="80"/>
              <w:spacing w:after="0" w:line="169"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Vaxart, Inc. Compensation Recovery Policy as adopted as of</w:t>
              </w:r>
            </w:hyperlink>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001-35285</w:t>
            </w:r>
          </w:p>
        </w:tc>
        <w:tc>
          <w:tcPr>
            <w:tcW w:w="1220" w:type="dxa"/>
            <w:vAlign w:val="bottom"/>
          </w:tcPr>
          <w:p>
            <w:pPr>
              <w:jc w:val="right"/>
              <w:ind w:right="470"/>
              <w:spacing w:after="0" w:line="169" w:lineRule="exact"/>
              <w:rPr>
                <w:sz w:val="20"/>
                <w:szCs w:val="20"/>
                <w:color w:val="auto"/>
              </w:rPr>
            </w:pPr>
            <w:r>
              <w:rPr>
                <w:rFonts w:ascii="Times New Roman" w:cs="Times New Roman" w:eastAsia="Times New Roman" w:hAnsi="Times New Roman"/>
                <w:sz w:val="18"/>
                <w:szCs w:val="18"/>
                <w:color w:val="auto"/>
              </w:rPr>
              <w:t>97.1</w:t>
            </w:r>
          </w:p>
        </w:tc>
        <w:tc>
          <w:tcPr>
            <w:tcW w:w="164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w w:val="99"/>
              </w:rPr>
              <w:t>March 14, 2024</w:t>
            </w: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234">
              <w:r>
                <w:rPr>
                  <w:rFonts w:ascii="Times New Roman" w:cs="Times New Roman" w:eastAsia="Times New Roman" w:hAnsi="Times New Roman"/>
                  <w:sz w:val="18"/>
                  <w:szCs w:val="18"/>
                  <w:color w:val="0000EE"/>
                  <w:w w:val="97"/>
                </w:rPr>
                <w:t>October 2, 2023</w:t>
              </w:r>
            </w:hyperlink>
          </w:p>
        </w:tc>
        <w:tc>
          <w:tcPr>
            <w:tcW w:w="30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101.INS * Inline XBRL Instance Document - the instance document does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appear in the Interactive Data File as its XBRL tags are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embedded within the Inline XBRL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 * Inline XBRL Taxonomy Extension Schema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101.CAL * Inline XBRL Taxonomy Extension Calculation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101.DEF * Inline XBRL Taxonomy Extension Definition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101.LAB * Inline XBRL Taxonomy Extension Label Linkbase Document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101.PRE * Inline XBRL Taxonomy Extension Presentation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9" w:lineRule="exact"/>
        <w:rPr>
          <w:sz w:val="20"/>
          <w:szCs w:val="20"/>
          <w:color w:val="auto"/>
        </w:rPr>
      </w:pPr>
    </w:p>
    <w:p>
      <w:pPr>
        <w:ind w:left="1080" w:right="5640" w:hanging="755"/>
        <w:spacing w:after="0" w:line="260" w:lineRule="auto"/>
        <w:tabs>
          <w:tab w:leader="none" w:pos="9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3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12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9" w:lineRule="exact"/>
        <w:rPr>
          <w:sz w:val="20"/>
          <w:szCs w:val="20"/>
          <w:color w:val="auto"/>
        </w:rPr>
      </w:pPr>
    </w:p>
    <w:p>
      <w:pPr>
        <w:ind w:left="500" w:hanging="492"/>
        <w:spacing w:after="0"/>
        <w:tabs>
          <w:tab w:leader="none" w:pos="5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contract or compensation plan or arrangement</w:t>
      </w:r>
    </w:p>
    <w:p>
      <w:pPr>
        <w:spacing w:after="0" w:line="225" w:lineRule="exact"/>
        <w:rPr>
          <w:sz w:val="20"/>
          <w:szCs w:val="20"/>
          <w:color w:val="auto"/>
        </w:rPr>
      </w:pPr>
    </w:p>
    <w:p>
      <w:pPr>
        <w:ind w:left="500" w:right="240" w:hanging="492"/>
        <w:spacing w:after="0" w:line="282" w:lineRule="auto"/>
        <w:tabs>
          <w:tab w:leader="none" w:pos="5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Confidential portions of this exhibit have been omitted and filed separately with the Commission pursuant to confidential treatment granted under Rule 24b-2 promulgated under the Exchange Act</w:t>
      </w:r>
    </w:p>
    <w:p>
      <w:pPr>
        <w:spacing w:after="0" w:line="162" w:lineRule="exact"/>
        <w:rPr>
          <w:sz w:val="20"/>
          <w:szCs w:val="20"/>
          <w:color w:val="auto"/>
        </w:rPr>
      </w:pPr>
    </w:p>
    <w:p>
      <w:pPr>
        <w:ind w:left="500" w:right="40" w:hanging="492"/>
        <w:spacing w:after="0" w:line="258" w:lineRule="auto"/>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 furnished in Exhibit 32.1 hereto is deemed to accompany this Annual Report on Form 10-K and will not be deemed “filed” for purposes of Section 18 of the Exchange Act. Such certification will not be deemed to be incorporated by reference into any filing under the Securities Act or the Exchange Act, except to the extent that the registrant specifically incorporates it by reference</w:t>
      </w:r>
    </w:p>
    <w:p>
      <w:pPr>
        <w:spacing w:after="0" w:line="183" w:lineRule="exact"/>
        <w:rPr>
          <w:sz w:val="20"/>
          <w:szCs w:val="20"/>
          <w:color w:val="auto"/>
        </w:rPr>
      </w:pPr>
    </w:p>
    <w:p>
      <w:pPr>
        <w:ind w:left="500" w:right="20" w:hanging="492"/>
        <w:spacing w:after="0" w:line="234" w:lineRule="auto"/>
        <w:tabs>
          <w:tab w:leader="none" w:pos="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Pursuant to Item 601(b)(10) of Regulation S-K, certain confidential portions of this exhibit have been omitted as (i) the Company has determined the omitted information is not material and (ii) the Company customarily and actually treats the omitted information as private or confidential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VAXART, INC.</w:t>
      </w:r>
    </w:p>
    <w:p>
      <w:pPr>
        <w:spacing w:after="0" w:line="200" w:lineRule="exact"/>
        <w:rPr>
          <w:sz w:val="20"/>
          <w:szCs w:val="20"/>
          <w:color w:val="auto"/>
        </w:rPr>
      </w:pPr>
    </w:p>
    <w:p>
      <w:pPr>
        <w:spacing w:after="0" w:line="241" w:lineRule="exact"/>
        <w:rPr>
          <w:sz w:val="20"/>
          <w:szCs w:val="20"/>
          <w:color w:val="auto"/>
        </w:rPr>
      </w:pPr>
    </w:p>
    <w:p>
      <w:pPr>
        <w:ind w:left="2700"/>
        <w:spacing w:after="0"/>
        <w:tabs>
          <w:tab w:leader="none" w:pos="3140" w:val="left"/>
        </w:tabs>
        <w:rPr>
          <w:sz w:val="20"/>
          <w:szCs w:val="20"/>
          <w:color w:val="auto"/>
        </w:rPr>
      </w:pPr>
      <w:r>
        <w:rPr>
          <w:rFonts w:ascii="Times New Roman" w:cs="Times New Roman" w:eastAsia="Times New Roman" w:hAnsi="Times New Roman"/>
          <w:sz w:val="18"/>
          <w:szCs w:val="18"/>
          <w:color w:val="auto"/>
        </w:rPr>
        <w:t>By:</w:t>
        <w:tab/>
        <w:t>/s/ STEVEN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17145</wp:posOffset>
            </wp:positionV>
            <wp:extent cx="28460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314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Steven Lo</w:t>
      </w:r>
    </w:p>
    <w:p>
      <w:pPr>
        <w:spacing w:after="0" w:line="2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Steven Lo and Jeroen Grasman, and each of them, as his or her attorneys-in-fact,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said attorneys-in-fact, and each of them, or his or her substitute or substitutes may lawfully do or cause to be done by virtue hereof.</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w:t>
            </w:r>
          </w:p>
        </w:tc>
        <w:tc>
          <w:tcPr>
            <w:tcW w:w="280" w:type="dxa"/>
            <w:vAlign w:val="bottom"/>
          </w:tcPr>
          <w:p>
            <w:pPr>
              <w:spacing w:after="0"/>
              <w:rPr>
                <w:sz w:val="20"/>
                <w:szCs w:val="20"/>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c>
          <w:tcPr>
            <w:tcW w:w="0" w:type="dxa"/>
            <w:vAlign w:val="bottom"/>
          </w:tcPr>
          <w:p>
            <w:pPr>
              <w:spacing w:after="0"/>
              <w:rPr>
                <w:sz w:val="1"/>
                <w:szCs w:val="1"/>
                <w:color w:val="auto"/>
              </w:rPr>
            </w:pPr>
          </w:p>
        </w:tc>
      </w:tr>
      <w:tr>
        <w:trPr>
          <w:trHeight w:val="641"/>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LO</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189"/>
        </w:trPr>
        <w:tc>
          <w:tcPr>
            <w:tcW w:w="3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Steven Lo</w:t>
            </w:r>
          </w:p>
        </w:tc>
        <w:tc>
          <w:tcPr>
            <w:tcW w:w="28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JEROEN GRASMAN</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189"/>
        </w:trPr>
        <w:tc>
          <w:tcPr>
            <w:tcW w:w="3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Jeroen Grasman</w:t>
            </w:r>
          </w:p>
        </w:tc>
        <w:tc>
          <w:tcPr>
            <w:tcW w:w="28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W. MARK WATSON</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Lead Independent Director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22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 Mark Watson</w:t>
            </w:r>
          </w:p>
        </w:tc>
        <w:tc>
          <w:tcPr>
            <w:tcW w:w="28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FINNEY</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22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Kevin Finney</w:t>
            </w:r>
          </w:p>
        </w:tc>
        <w:tc>
          <w:tcPr>
            <w:tcW w:w="28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ELAINE J. HERON</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22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Elaine J. Heron, Ph.D.</w:t>
            </w:r>
          </w:p>
        </w:tc>
        <w:tc>
          <w:tcPr>
            <w:tcW w:w="28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WHEADON</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22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Wheadon M.D.</w:t>
            </w:r>
          </w:p>
        </w:tc>
        <w:tc>
          <w:tcPr>
            <w:tcW w:w="28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60" w:type="dxa"/>
            <w:vAlign w:val="bottom"/>
          </w:tcPr>
          <w:p>
            <w:pPr>
              <w:spacing w:after="0"/>
              <w:rPr>
                <w:sz w:val="24"/>
                <w:szCs w:val="24"/>
                <w:color w:val="auto"/>
              </w:rPr>
            </w:pPr>
          </w:p>
        </w:tc>
        <w:tc>
          <w:tcPr>
            <w:tcW w:w="5400" w:type="dxa"/>
            <w:vAlign w:val="bottom"/>
            <w:gridSpan w:val="2"/>
          </w:tcPr>
          <w:p>
            <w:pPr>
              <w:jc w:val="right"/>
              <w:ind w:right="301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0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description of our common stock is based on the provisions of our amended and restated certificate of incorporation, as amended from time to time, and amended and restated bylaws and the applicable provisions of the Delaware General Corporation Law. This information is qualified entirely by reference to the applicable provisions of our amended and restated certificate of incorporation, our amended and restated bylaws and the Delaware General Corporation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(i) 350,000,000 shares of common stock, par value $0.0001 per share and (ii) 5,000,000 shares of preferred stock, par value $0.0001 per share.</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common stock provided for in our amended and restated certificate of incorporation, as amended from time to time, and amended and restated bylaws.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entitled to one vote for each share held of record on all matters submitted to a vote of the stockholders, except that directors will be elected by a plurality of votes cast. Accordingly, the holders of a majority of the shares of common stock entitled to vote in any election of directors are able to elect all of the directors standing for election, if they so choose.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common stock are entitled to receive dividends, if any, as may be declared from time to time by our board of directors out of legally available funds. We have never paid cash dividends and have no present intention to pay cash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the event of a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outstanding shares of common stock are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Charter Documents and Delaware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jc w:val="both"/>
        <w:ind w:right="66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380" w:right="20" w:hanging="183"/>
        <w:spacing w:after="0" w:line="261"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ind w:left="380" w:right="100" w:hanging="183"/>
        <w:spacing w:after="0" w:line="250"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 w:lineRule="exact"/>
        <w:rPr>
          <w:rFonts w:ascii="Times New Roman" w:cs="Times New Roman" w:eastAsia="Times New Roman" w:hAnsi="Times New Roman"/>
          <w:sz w:val="18"/>
          <w:szCs w:val="18"/>
          <w:color w:val="auto"/>
        </w:rPr>
      </w:pPr>
    </w:p>
    <w:p>
      <w:pPr>
        <w:ind w:left="380" w:right="60" w:hanging="183"/>
        <w:spacing w:after="0" w:line="255"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380" w:hanging="183"/>
        <w:spacing w:after="0"/>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380" w:hanging="183"/>
        <w:spacing w:after="0"/>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w:t>
      </w:r>
    </w:p>
    <w:p>
      <w:pPr>
        <w:spacing w:after="0" w:line="225" w:lineRule="exact"/>
        <w:rPr>
          <w:rFonts w:ascii="Times New Roman" w:cs="Times New Roman" w:eastAsia="Times New Roman" w:hAnsi="Times New Roman"/>
          <w:sz w:val="18"/>
          <w:szCs w:val="18"/>
          <w:color w:val="auto"/>
        </w:rPr>
      </w:pPr>
    </w:p>
    <w:p>
      <w:pPr>
        <w:ind w:left="380" w:right="320" w:hanging="183"/>
        <w:spacing w:after="0" w:line="282"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546" w:gutter="0" w:footer="0" w:header="0"/>
        </w:sectPr>
      </w:pPr>
    </w:p>
    <w:bookmarkStart w:id="148" w:name="page149"/>
    <w:bookmarkEnd w:id="148"/>
    <w:p>
      <w:pPr>
        <w:ind w:left="380" w:right="620" w:hanging="183"/>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 and</w:t>
      </w:r>
    </w:p>
    <w:p>
      <w:pPr>
        <w:spacing w:after="0" w:line="161" w:lineRule="exact"/>
        <w:rPr>
          <w:rFonts w:ascii="Times New Roman" w:cs="Times New Roman" w:eastAsia="Times New Roman" w:hAnsi="Times New Roman"/>
          <w:sz w:val="18"/>
          <w:szCs w:val="18"/>
          <w:color w:val="auto"/>
        </w:rPr>
      </w:pPr>
    </w:p>
    <w:p>
      <w:pPr>
        <w:ind w:left="380" w:right="200" w:hanging="183"/>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delay or discourage transactions involving an actual or potential change-in-control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396" w:lineRule="exact"/>
        <w:rPr>
          <w:sz w:val="20"/>
          <w:szCs w:val="20"/>
          <w:color w:val="auto"/>
        </w:rPr>
      </w:pPr>
    </w:p>
    <w:p>
      <w:pPr>
        <w:ind w:left="380" w:right="420" w:hanging="183"/>
        <w:spacing w:after="0" w:line="261"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5,000,000 shares of preferred stock, with any rights, preferences and privileges as they may designate (including the right to approve an acquisition or other change in control);</w:t>
      </w:r>
    </w:p>
    <w:p>
      <w:pPr>
        <w:ind w:left="380" w:hanging="183"/>
        <w:spacing w:after="0"/>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adopted by a majority of the board of directors;</w:t>
      </w:r>
    </w:p>
    <w:p>
      <w:pPr>
        <w:spacing w:after="0" w:line="9" w:lineRule="exact"/>
        <w:rPr>
          <w:rFonts w:ascii="Times New Roman" w:cs="Times New Roman" w:eastAsia="Times New Roman" w:hAnsi="Times New Roman"/>
          <w:sz w:val="18"/>
          <w:szCs w:val="18"/>
          <w:color w:val="auto"/>
        </w:rPr>
      </w:pPr>
    </w:p>
    <w:p>
      <w:pPr>
        <w:ind w:left="380" w:right="200" w:hanging="183"/>
        <w:spacing w:after="0" w:line="265" w:lineRule="auto"/>
        <w:tabs>
          <w:tab w:leader="none" w:pos="3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ind w:left="380" w:right="200" w:hanging="183"/>
        <w:spacing w:after="0" w:line="250"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or by action taken by written consent;</w:t>
      </w:r>
    </w:p>
    <w:p>
      <w:pPr>
        <w:ind w:left="380" w:right="60" w:hanging="183"/>
        <w:spacing w:after="0" w:line="250"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1" w:lineRule="exact"/>
        <w:rPr>
          <w:rFonts w:ascii="Times New Roman" w:cs="Times New Roman" w:eastAsia="Times New Roman" w:hAnsi="Times New Roman"/>
          <w:sz w:val="18"/>
          <w:szCs w:val="18"/>
          <w:color w:val="auto"/>
        </w:rPr>
      </w:pPr>
    </w:p>
    <w:p>
      <w:pPr>
        <w:ind w:left="380" w:right="80" w:hanging="183"/>
        <w:spacing w:after="0" w:line="260"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the board, the president or by our board of directors pursuant to a resolution adopted by a majority of the total number of authorized directors (whether or not there exist any vacancies).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will be the exclusive forum for enumerated types of internal corporate claims, including derivative suits, claims for breach of fiduciary duty, actions under the General Corporation Law of Delaware, amended and restated certificate of incorporation or the amended and restated bylaws, and actions under the internal affairs doctrine.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quoted on the OTCQX® Best Market under the symbol “VXRT.”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The transfer agent and registrar’s address is 6201 15th Avenue, Brooklyn, New York 11219.</w:t>
      </w:r>
    </w:p>
    <w:p>
      <w:pPr>
        <w:sectPr>
          <w:pgSz w:w="11900" w:h="16838" w:orient="portrait"/>
          <w:cols w:equalWidth="0" w:num="1">
            <w:col w:w="11240"/>
          </w:cols>
          <w:pgMar w:left="320" w:top="1012"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10.57</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CERTAIN INFORMATION IN THIS DOCUMENT, MARKED BY [***], HAS BEEN EXCLUDED PURSUANT TO REGULATION S-K, 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601(b)(10)(iv). SUCH EXCLUDED INFORMATION IS NOT MATERIAL AND IS THE TYPE THAT THE REGISTRANT TREATS AS PRIVATE OR CONFIDENTIAL.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Termination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December 18,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BRITANNIA POINTE GRAND LIMITED PARTNERSHIP, a Delaware limited partnership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VAXART,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 xml:space="preserve"> :</w:t>
      </w:r>
    </w:p>
    <w:p>
      <w:pPr>
        <w:spacing w:after="0" w:line="221" w:lineRule="exact"/>
        <w:rPr>
          <w:sz w:val="20"/>
          <w:szCs w:val="20"/>
          <w:color w:val="auto"/>
        </w:rPr>
      </w:pPr>
    </w:p>
    <w:p>
      <w:pPr>
        <w:ind w:firstLine="656"/>
        <w:spacing w:after="0" w:line="286" w:lineRule="auto"/>
        <w:tabs>
          <w:tab w:leader="none" w:pos="102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are parties to the Lease dated September 17, 2021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whereby Tenant leases approximately 24,606 rentable square feet of space located on the third floor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within the building located at 170 Harbor Way, South San Francisco, California 94080.</w:t>
      </w:r>
    </w:p>
    <w:p>
      <w:pPr>
        <w:spacing w:after="0" w:line="158"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to enter into this Agreement in order to terminate the Lease and for the mutual release of Landlord and Tenant as provided herein. Each capitalized term when used herein shall have the same respective meaning as is given such term in the Lease, unless expressly provided otherwise in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 G R E E M E N T</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right="740" w:firstLine="648"/>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recitals and the conditions and the covenants hereinafter contained, and for other consideration hereinafter set forth, the receipt and sufficiency of which are hereby acknowledged, Landlord and Tenant hereby agree as follows.</w:t>
      </w:r>
    </w:p>
    <w:p>
      <w:pPr>
        <w:spacing w:after="0" w:line="136" w:lineRule="exact"/>
        <w:rPr>
          <w:sz w:val="20"/>
          <w:szCs w:val="20"/>
          <w:color w:val="auto"/>
        </w:rPr>
      </w:pPr>
    </w:p>
    <w:p>
      <w:pPr>
        <w:jc w:val="both"/>
        <w:ind w:firstLine="656"/>
        <w:spacing w:after="0" w:line="268" w:lineRule="auto"/>
        <w:tabs>
          <w:tab w:leader="none" w:pos="10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the Lease</w:t>
      </w:r>
      <w:r>
        <w:rPr>
          <w:rFonts w:ascii="Times New Roman" w:cs="Times New Roman" w:eastAsia="Times New Roman" w:hAnsi="Times New Roman"/>
          <w:sz w:val="18"/>
          <w:szCs w:val="18"/>
          <w:color w:val="auto"/>
        </w:rPr>
        <w:t>. The Lease Term is currently scheduled to expire on March 31, 2029 pursuant to Section 3.3 of the Lease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Termination Date</w:t>
      </w:r>
      <w:r>
        <w:rPr>
          <w:rFonts w:ascii="Times New Roman" w:cs="Times New Roman" w:eastAsia="Times New Roman" w:hAnsi="Times New Roman"/>
          <w:sz w:val="18"/>
          <w:szCs w:val="18"/>
          <w:color w:val="auto"/>
        </w:rPr>
        <w:t>”). Notwithstanding the foregoing, the Lease shall terminate and be of no further force or effect as of 11:59 P.M. on May 15, 2026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right="20" w:firstLine="656"/>
        <w:spacing w:after="0" w:line="286" w:lineRule="auto"/>
        <w:tabs>
          <w:tab w:leader="none" w:pos="10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Obligation to Pay Rent</w:t>
      </w:r>
      <w:r>
        <w:rPr>
          <w:rFonts w:ascii="Times New Roman" w:cs="Times New Roman" w:eastAsia="Times New Roman" w:hAnsi="Times New Roman"/>
          <w:sz w:val="18"/>
          <w:szCs w:val="18"/>
          <w:color w:val="auto"/>
        </w:rPr>
        <w:t>. From the Effective Date of this Agreement through and including the Termination Date, Tenant shall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for and shall continue to pay Base Rent, Additional Rent and all other amounts due to Landlord, per the terms of the Lease.</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9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Surrender of Premises</w:t>
      </w:r>
      <w:r>
        <w:rPr>
          <w:rFonts w:ascii="Times New Roman" w:cs="Times New Roman" w:eastAsia="Times New Roman" w:hAnsi="Times New Roman"/>
          <w:sz w:val="18"/>
          <w:szCs w:val="18"/>
          <w:color w:val="auto"/>
        </w:rPr>
        <w:t>. Tenant hereby agrees to vacate the Premises and surrender and deliver exclusive possession thereof to Landlord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before the Termination Date, in accordance with the provisions of the Lease, including, without limitation, the terms of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 xml:space="preserve"> thereof. Tenant further agrees to fully decommission the laboratory space prior to the Termination Date in accordance with the terms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-588645</wp:posOffset>
            </wp:positionV>
            <wp:extent cx="285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[INTENTIONALLY DELETED]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of Liability</w:t>
      </w:r>
      <w:r>
        <w:rPr>
          <w:rFonts w:ascii="Times New Roman" w:cs="Times New Roman" w:eastAsia="Times New Roman" w:hAnsi="Times New Roman"/>
          <w:sz w:val="18"/>
          <w:szCs w:val="18"/>
          <w:color w:val="auto"/>
        </w:rPr>
        <w:t>. Except for any of Landlord’s or Tenant's respective obligations under this Agreement:</w:t>
      </w:r>
    </w:p>
    <w:p>
      <w:pPr>
        <w:spacing w:after="0" w:line="229" w:lineRule="exact"/>
        <w:rPr>
          <w:rFonts w:ascii="Times New Roman" w:cs="Times New Roman" w:eastAsia="Times New Roman" w:hAnsi="Times New Roman"/>
          <w:sz w:val="18"/>
          <w:szCs w:val="18"/>
          <w:color w:val="auto"/>
        </w:rPr>
      </w:pPr>
    </w:p>
    <w:p>
      <w:pPr>
        <w:jc w:val="both"/>
        <w:ind w:firstLine="980"/>
        <w:spacing w:after="0" w:line="261" w:lineRule="auto"/>
        <w:tabs>
          <w:tab w:leader="none" w:pos="138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as of the Termination Date, be fully and unconditionally released and discharged from its obligations arising after the Termination Date from or connected with the provisions of the Lease, specifically including, without limitation, any right Tenant may have to audit or review Landlord's books or records or to contest any Direct Expenses, billed to Tenant under the Lease or any right Landlord may have to bill additional Direct Expenses or late charges to Tenant under the Lease; and</w:t>
      </w:r>
    </w:p>
    <w:p>
      <w:pPr>
        <w:spacing w:after="0" w:line="179" w:lineRule="exact"/>
        <w:rPr>
          <w:rFonts w:ascii="Times New Roman" w:cs="Times New Roman" w:eastAsia="Times New Roman" w:hAnsi="Times New Roman"/>
          <w:sz w:val="18"/>
          <w:szCs w:val="18"/>
          <w:color w:val="auto"/>
        </w:rPr>
      </w:pPr>
    </w:p>
    <w:p>
      <w:pPr>
        <w:jc w:val="both"/>
        <w:ind w:firstLine="980"/>
        <w:spacing w:after="0" w:line="266" w:lineRule="auto"/>
        <w:tabs>
          <w:tab w:leader="none" w:pos="139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fully and finally settle all of Tenant’s and Landlord's respective demands, charges, claims, accounts or causes of action of any nature, including, without limitation, both known and unknown claims and causes of action that may arise out of or in connection with the obligations of the subject party under the Lease after the Termination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expressly waives the provisions of California Civil Code Section 1542, which provides:</w:t>
      </w:r>
    </w:p>
    <w:p>
      <w:pPr>
        <w:spacing w:after="0" w:line="225" w:lineRule="exact"/>
        <w:rPr>
          <w:sz w:val="20"/>
          <w:szCs w:val="20"/>
          <w:color w:val="auto"/>
        </w:rPr>
      </w:pPr>
    </w:p>
    <w:p>
      <w:pPr>
        <w:jc w:val="both"/>
        <w:ind w:left="460" w:right="440"/>
        <w:spacing w:after="0" w:line="266"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acknowledges that it has received the advice of legal counsel with respect to the aforementioned waiver and understands the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jc w:val="both"/>
        <w:ind w:firstLine="656"/>
        <w:spacing w:after="0" w:line="252" w:lineRule="auto"/>
        <w:tabs>
          <w:tab w:leader="none" w:pos="99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w:t>
      </w:r>
      <w:r>
        <w:rPr>
          <w:rFonts w:ascii="Times New Roman" w:cs="Times New Roman" w:eastAsia="Times New Roman" w:hAnsi="Times New Roman"/>
          <w:sz w:val="18"/>
          <w:szCs w:val="18"/>
          <w:color w:val="auto"/>
        </w:rPr>
        <w:t>. Each party represents and warrants to the other party that (a) as of the date hereof, it has not assigned or sublet all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portion of its interest in the Lease or Premises; (b) no other person, firm or entity has any right, title or interest in the Lease; (c) it has the full right, legal power and actual authority to enter into this Agreement and to terminate the Lease without the consent of any person, firm or entity; and (d) it has the full right, legal power and actual authority to bind such party to the terms and conditions hereof. Tenant further represents and warrants to Landlord that as of the date hereof there are no, and as of the Termination Date there shall not be any, mechanic’s liens or other liens encumbering all or any portion of the Premises, by virtue of any act or omission on the part of Tenant, its predecessors, contractors, agents, employees, successors or assigns. Landlord hereby represents and warrants to Tenant that the Project is not currently subject to a ground lease, or to the lien of a mortgage or deed of trust. Each party represents and warrants to the other that, to its knowledge as of the Effective Date, (a) it is not in default under the Lease, and (b) it has not received written notice from the other party of any uncured default under the Lease. Landlord and Tenant agree that any and all alleged defaults existing prior to the Effective Date that have not been the subject of a written notice of default delivered in accordance with the Lease are waived and shall not form the basis of any claim by either party. Landlord and Tenant acknowledge and agree that, except as otherwise provided in this Agreement and by operation of law, as between the parties, the termination of the Lease pursuant to this Agreement shall not (a) trigger any recapture, claw-back, repayment, or reimbursement of any tenant improvement allowance, rent abatement, free rent, or other concession previously granted under the Lease, or (b) create or revive any obligation to pay or reimburse any leasing commission or similar brokerage compensation, whether under the Lease or any separate agreement. Notwithstanding the termination of the Lease and the release of liability provided for herein, the representations and warranties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the Termination Date and each party shall be liable to the other for any material inaccuracy or any breach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1" w:name="page152"/>
    <w:bookmarkEnd w:id="151"/>
    <w:p>
      <w:pPr>
        <w:jc w:val="both"/>
        <w:ind w:left="-656" w:firstLine="656"/>
        <w:spacing w:after="0" w:line="262" w:lineRule="auto"/>
        <w:tabs>
          <w:tab w:leader="none" w:pos="3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Continuing Liability</w:t>
      </w:r>
      <w:r>
        <w:rPr>
          <w:rFonts w:ascii="Times New Roman" w:cs="Times New Roman" w:eastAsia="Times New Roman" w:hAnsi="Times New Roman"/>
          <w:sz w:val="18"/>
          <w:szCs w:val="18"/>
          <w:color w:val="auto"/>
        </w:rPr>
        <w:t>. Notwithstanding the termination of the Lease, Tenant shall remain liable, with respect to the period of its tenancy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Termination Date, for the performance of all of its obligations under the Lease and Landlord shall have all the rights and remedies with respect to such obligations as set forth in the Lease. In the event that Tenant retains possession of the Premises, or any part thereof, after the Termination Date, then the provisions of Article 16 of the Lease shall apply.</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44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 and [***] of [***] represent the Landlord (collectively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Broker</w:t>
      </w:r>
      <w:r>
        <w:rPr>
          <w:rFonts w:ascii="Times New Roman" w:cs="Times New Roman" w:eastAsia="Times New Roman" w:hAnsi="Times New Roman"/>
          <w:sz w:val="18"/>
          <w:szCs w:val="18"/>
          <w:color w:val="auto"/>
        </w:rPr>
        <w:t>”) with respect to the negotiation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Notwithstanding the foregoing, neither Landlord nor Tenant shall be liable for payment of any commission or fee in accordance with the negotiation and execution of this Agreement. Landlord and Tenant hereby warrant to each other that they have had no dealings with any real estate broker or agent, other than Landlord’s Broker, in connection with the negotiation of this Agreement and that they know of no real estate broker or agent who is entitled to a commission in connection with this Agreement. Landlord and Tenant each agree to indemnify, defend and hold harmless the other party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occurring by, through, or under Landlord or Tenant, respectively. The terms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the Termination Date.</w:t>
      </w:r>
    </w:p>
    <w:p>
      <w:pPr>
        <w:spacing w:after="0" w:line="184"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34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Mutual Confidentiality</w:t>
      </w:r>
      <w:r>
        <w:rPr>
          <w:rFonts w:ascii="Times New Roman" w:cs="Times New Roman" w:eastAsia="Times New Roman" w:hAnsi="Times New Roman"/>
          <w:sz w:val="18"/>
          <w:szCs w:val="18"/>
          <w:color w:val="auto"/>
        </w:rPr>
        <w:t>. Landlord and Tenant acknowledge that the terms and conditions of this Agreement are to remain confidential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Landlord's and Tenant's benefit, as applicable, and may not be disclosed by Landlord or Tenant to anyone, (other than, on a need to know basis only, to such party's respective financial, legal and tax advisors, and such party's affiliates and its and its affiliates' respective directors, officers, employees, actual and prospective lenders, banks, and investors, auditors, underwriters, and attorneys, accountants and similar professionals) by any manner or means, directly or indirectly, without Landlord's prior written consent; however, Landlord and Tenant may disclose the terms and conditions of this Agreement if required by law or court order and in any litigation between the parties provided that, (i) to the extent permitted by applicable law, such party notifies the other party in advance, and reasonably cooperates with the other party (at no cost or expense to such other party except for de minimis expense), so as to allow the other party an opportunity to take appropriate protective measures, and (ii) in the event the disclosing party does not obtain a protective order or other remedy, then the other party may disclose only that portion of the confidential information that in the opinion of the other party’s legal counsel (which may be internal counsel) is legally required to be disclosed. Landlord and Tenant shall each be liable for any disclosures made in violation of this Section 9 by Tenant or by any entity or individual to whom the terms of and conditions of this Agreement were disclosed or made available by Landlord or Tenant, as applicable. The consent by Landlord or Tenant to any disclosures shall not be deemed to be a waiver on the part of Landlord or Tenant of any prohibition against any future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356235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6" w:right="339" w:bottom="1440" w:gutter="0" w:footer="0" w:header="0"/>
        </w:sectPr>
      </w:pPr>
    </w:p>
    <w:bookmarkStart w:id="152" w:name="page153"/>
    <w:bookmarkEnd w:id="152"/>
    <w:p>
      <w:pPr>
        <w:jc w:val="both"/>
        <w:ind w:left="-656" w:firstLine="656"/>
        <w:spacing w:after="0" w:line="268" w:lineRule="auto"/>
        <w:tabs>
          <w:tab w:leader="none" w:pos="43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Attorneys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Fees</w:t>
      </w:r>
      <w:r>
        <w:rPr>
          <w:rFonts w:ascii="Times New Roman" w:cs="Times New Roman" w:eastAsia="Times New Roman" w:hAnsi="Times New Roman"/>
          <w:sz w:val="18"/>
          <w:szCs w:val="18"/>
          <w:color w:val="auto"/>
        </w:rPr>
        <w:t>. Should any dispute arise between the parties hereto or their legal representatives, successors and assigns concerning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or the rights and duties of any person in relation thereto, the party prevailing in such dispute shall be entitled, in addition to such other relief that may be granted, to recover reasonable attorneys’ fees and legal costs in connection with such dispute.</w:t>
      </w:r>
    </w:p>
    <w:p>
      <w:pPr>
        <w:spacing w:after="0" w:line="170"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and construed under the laws of the State of California.</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59" w:lineRule="auto"/>
        <w:tabs>
          <w:tab w:leader="none" w:pos="53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Signatures</w:t>
      </w:r>
      <w:r>
        <w:rPr>
          <w:rFonts w:ascii="Times New Roman" w:cs="Times New Roman" w:eastAsia="Times New Roman" w:hAnsi="Times New Roman"/>
          <w:sz w:val="18"/>
          <w:szCs w:val="18"/>
          <w:color w:val="auto"/>
        </w:rPr>
        <w:t>. This Agreement may be executed in counterparts, each of which shall be deemed an original, but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when taken together, shall constitute one agreement. Signatures of the parties transmitted by telefacsimile or electronic mail PDF format shall be deemed to constitute originals and may be relied upon, for all purposes, as binding the transmitting party hereto. The parties intend to be bound by the signatures transmitted by telefacsimile or electronic mail PDF format, are aware that the other party will rely on such signature, and hereby waive any defenses to the enforcement of the terms of this Agreement based on the form of signature.</w:t>
      </w:r>
    </w:p>
    <w:p>
      <w:pPr>
        <w:spacing w:after="0" w:line="179" w:lineRule="exact"/>
        <w:rPr>
          <w:rFonts w:ascii="Times New Roman" w:cs="Times New Roman" w:eastAsia="Times New Roman" w:hAnsi="Times New Roman"/>
          <w:sz w:val="18"/>
          <w:szCs w:val="18"/>
          <w:color w:val="auto"/>
        </w:rPr>
      </w:pPr>
    </w:p>
    <w:p>
      <w:pPr>
        <w:ind w:left="-656" w:firstLine="656"/>
        <w:spacing w:after="0" w:line="286" w:lineRule="auto"/>
        <w:tabs>
          <w:tab w:leader="none" w:pos="5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inure to the benefit of, and shall be binding upon, the parties hereto and their respective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successors and assigns.</w:t>
      </w:r>
    </w:p>
    <w:p>
      <w:pPr>
        <w:spacing w:after="0" w:line="154"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Time of the Essence</w:t>
      </w:r>
      <w:r>
        <w:rPr>
          <w:rFonts w:ascii="Times New Roman" w:cs="Times New Roman" w:eastAsia="Times New Roman" w:hAnsi="Times New Roman"/>
          <w:sz w:val="18"/>
          <w:szCs w:val="18"/>
          <w:color w:val="auto"/>
        </w:rPr>
        <w:t>. Time is of the essence of this Agreement and the provisions contained herein.</w:t>
      </w:r>
    </w:p>
    <w:p>
      <w:pPr>
        <w:spacing w:after="0" w:line="225" w:lineRule="exact"/>
        <w:rPr>
          <w:rFonts w:ascii="Times New Roman" w:cs="Times New Roman" w:eastAsia="Times New Roman" w:hAnsi="Times New Roman"/>
          <w:sz w:val="18"/>
          <w:szCs w:val="18"/>
          <w:color w:val="auto"/>
        </w:rPr>
      </w:pPr>
    </w:p>
    <w:p>
      <w:pPr>
        <w:ind w:left="-656" w:firstLine="656"/>
        <w:spacing w:after="0" w:line="286" w:lineRule="auto"/>
        <w:tabs>
          <w:tab w:leader="none" w:pos="53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Landlord and Tenant hereby agree to execute such further documents or instruments as may be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to carry out the intention of this Agreement.</w:t>
      </w:r>
    </w:p>
    <w:p>
      <w:pPr>
        <w:spacing w:after="0" w:line="154" w:lineRule="exact"/>
        <w:rPr>
          <w:rFonts w:ascii="Times New Roman" w:cs="Times New Roman" w:eastAsia="Times New Roman" w:hAnsi="Times New Roman"/>
          <w:sz w:val="18"/>
          <w:szCs w:val="18"/>
          <w:color w:val="auto"/>
        </w:rPr>
      </w:pPr>
    </w:p>
    <w:p>
      <w:pPr>
        <w:ind w:left="-656" w:firstLine="656"/>
        <w:spacing w:after="0" w:line="286" w:lineRule="auto"/>
        <w:tabs>
          <w:tab w:leader="none" w:pos="3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Voluntary Agreement</w:t>
      </w:r>
      <w:r>
        <w:rPr>
          <w:rFonts w:ascii="Times New Roman" w:cs="Times New Roman" w:eastAsia="Times New Roman" w:hAnsi="Times New Roman"/>
          <w:sz w:val="18"/>
          <w:szCs w:val="18"/>
          <w:color w:val="auto"/>
        </w:rPr>
        <w:t>. The parties have read this Agreement and mutual release as contained herein, and on the advice of counsel they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freely and voluntarily entered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335280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6" w:right="339" w:bottom="1440" w:gutter="0" w:footer="0" w:header="0"/>
        </w:sectPr>
      </w:pPr>
    </w:p>
    <w:bookmarkStart w:id="153" w:name="page154"/>
    <w:bookmarkEnd w:id="153"/>
    <w:p>
      <w:pPr>
        <w:ind w:left="660"/>
        <w:spacing w:after="0"/>
        <w:rPr>
          <w:sz w:val="20"/>
          <w:szCs w:val="20"/>
          <w:color w:val="auto"/>
        </w:rPr>
      </w:pPr>
      <w:r>
        <w:rPr>
          <w:rFonts w:ascii="Times New Roman" w:cs="Times New Roman" w:eastAsia="Times New Roman" w:hAnsi="Times New Roman"/>
          <w:sz w:val="18"/>
          <w:szCs w:val="18"/>
          <w:color w:val="auto"/>
        </w:rPr>
        <w:t>IN WITNESS WHEREOF, Landlord and Tenant have executed this Agreement as of the day and year first above written.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18"/>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BRITANNIA POINTE GRAND LIMITED PARTNERSHIP, a Delaware</w:t>
            </w:r>
          </w:p>
        </w:tc>
        <w:tc>
          <w:tcPr>
            <w:tcW w:w="1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VAXART, INC.,</w:t>
            </w:r>
          </w:p>
        </w:tc>
      </w:tr>
      <w:tr>
        <w:trPr>
          <w:trHeight w:val="234"/>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limited partnership</w:t>
            </w:r>
          </w:p>
        </w:tc>
        <w:tc>
          <w:tcPr>
            <w:tcW w:w="12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gridSpan w:val="2"/>
          </w:tcPr>
          <w:p>
            <w:pPr>
              <w:jc w:val="right"/>
              <w:ind w:right="4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 Steven Lo</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Name:</w:t>
            </w:r>
          </w:p>
        </w:tc>
        <w:tc>
          <w:tcPr>
            <w:tcW w:w="4900" w:type="dxa"/>
            <w:vAlign w:val="bottom"/>
            <w:gridSpan w:val="2"/>
          </w:tcPr>
          <w:p>
            <w:pPr>
              <w:jc w:val="right"/>
              <w:ind w:right="43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60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280" w:type="dxa"/>
            <w:vAlign w:val="bottom"/>
          </w:tcPr>
          <w:p>
            <w:pPr>
              <w:spacing w:after="0"/>
              <w:rPr>
                <w:sz w:val="16"/>
                <w:szCs w:val="16"/>
                <w:color w:val="auto"/>
              </w:rPr>
            </w:pPr>
          </w:p>
        </w:tc>
        <w:tc>
          <w:tcPr>
            <w:tcW w:w="48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Steven Lo</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900" w:type="dxa"/>
            <w:vAlign w:val="bottom"/>
            <w:gridSpan w:val="2"/>
          </w:tcPr>
          <w:p>
            <w:pPr>
              <w:jc w:val="right"/>
              <w:ind w:right="4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Its:</w:t>
            </w:r>
          </w:p>
        </w:tc>
        <w:tc>
          <w:tcPr>
            <w:tcW w:w="280" w:type="dxa"/>
            <w:vAlign w:val="bottom"/>
          </w:tcPr>
          <w:p>
            <w:pPr>
              <w:spacing w:after="0"/>
              <w:rPr>
                <w:sz w:val="20"/>
                <w:szCs w:val="20"/>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w:t>
            </w:r>
          </w:p>
        </w:tc>
      </w:tr>
    </w:tbl>
    <w:p>
      <w:pPr>
        <w:sectPr>
          <w:pgSz w:w="11900" w:h="16838" w:orient="portrait"/>
          <w:cols w:equalWidth="0" w:num="1">
            <w:col w:w="11240"/>
          </w:cols>
          <w:pgMar w:left="320" w:top="79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88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220" w:type="dxa"/>
            <w:vAlign w:val="bottom"/>
            <w:tcBorders>
              <w:top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Jurisdiction</w:t>
            </w:r>
          </w:p>
        </w:tc>
      </w:tr>
      <w:tr>
        <w:trPr>
          <w:trHeight w:val="210"/>
        </w:trPr>
        <w:tc>
          <w:tcPr>
            <w:tcW w:w="29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Vaxart Biosciences, Inc.</w:t>
            </w:r>
          </w:p>
        </w:tc>
        <w:tc>
          <w:tcPr>
            <w:tcW w:w="3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Biota Holdings Pty, Ltd.</w:t>
            </w:r>
          </w:p>
        </w:tc>
        <w:tc>
          <w:tcPr>
            <w:tcW w:w="3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Biota Scientific Management Pty, Ltd.</w:t>
            </w:r>
          </w:p>
        </w:tc>
        <w:tc>
          <w:tcPr>
            <w:tcW w:w="3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r>
    </w:tbl>
    <w:p>
      <w:pPr>
        <w:sectPr>
          <w:pgSz w:w="11900" w:h="16838" w:orient="portrait"/>
          <w:cols w:equalWidth="0" w:num="1">
            <w:col w:w="10120"/>
          </w:cols>
          <w:pgMar w:left="1440" w:top="11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333-270671) and Form S-8 (Nos. 333-267984, 333-257245, 333-239727, 333-231013, 333-225475, 333-215141, 333-188111, 333-143238, 333-277944 and 333-280669) of Vaxart, Inc. of our report dated March 12, 2026, relating to the consolidated financial statements of Vaxart, Inc. and Subsidiaries as of and for the years ended December 31, 2025 and 2024 which appears in this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WithumSmith+Brown, PC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ectPr>
          <w:pgSz w:w="11900" w:h="16838" w:orient="portrait"/>
          <w:cols w:equalWidth="0" w:num="1">
            <w:col w:w="11240"/>
          </w:cols>
          <w:pgMar w:left="320" w:top="11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Lo, certify that:</w:t>
      </w:r>
    </w:p>
    <w:p>
      <w:pPr>
        <w:spacing w:after="0" w:line="225"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Vaxart,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660" w:val="left"/>
          <w:tab w:leader="none" w:pos="710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By:</w:t>
        <w:tab/>
        <w:t>/s/ STEVEN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Steven Lo</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Jeroen Grasman, certify that:</w:t>
      </w:r>
    </w:p>
    <w:p>
      <w:pPr>
        <w:spacing w:after="0" w:line="225" w:lineRule="exact"/>
        <w:rPr>
          <w:sz w:val="20"/>
          <w:szCs w:val="20"/>
          <w:color w:val="auto"/>
        </w:rPr>
      </w:pPr>
    </w:p>
    <w:p>
      <w:pPr>
        <w:ind w:left="560" w:hanging="552"/>
        <w:spacing w:after="0"/>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Vaxart, Inc.;</w:t>
      </w:r>
    </w:p>
    <w:p>
      <w:pPr>
        <w:spacing w:after="0" w:line="225"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120" w:hanging="559"/>
        <w:spacing w:after="0" w:line="266" w:lineRule="auto"/>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20" w:hanging="559"/>
        <w:spacing w:after="0" w:line="266" w:lineRule="auto"/>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20" w:hanging="559"/>
        <w:spacing w:after="0" w:line="282" w:lineRule="auto"/>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20" w:hanging="559"/>
        <w:spacing w:after="0" w:line="266" w:lineRule="auto"/>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20" w:hanging="559"/>
        <w:spacing w:after="0" w:line="282" w:lineRule="auto"/>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20" w:hanging="559"/>
        <w:spacing w:after="0" w:line="282" w:lineRule="auto"/>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tabs>
          <w:tab w:leader="none" w:pos="6660" w:val="left"/>
          <w:tab w:leader="none" w:pos="710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By:</w:t>
        <w:tab/>
        <w:t>/s/ JEROEN GRASMAN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Jeroen Grasman</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58" w:name="page159"/>
    <w:bookmarkEnd w:id="15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Steven Lo, President and Chief Executive Officer of Vaxart, Inc. (the “Company”), and Jeroen Grasman, Chief Financial Officer of the Company, hereby certify that, to their knowledge:</w:t>
      </w:r>
    </w:p>
    <w:p>
      <w:pPr>
        <w:spacing w:after="0" w:line="162" w:lineRule="exact"/>
        <w:rPr>
          <w:sz w:val="20"/>
          <w:szCs w:val="20"/>
          <w:color w:val="auto"/>
        </w:rPr>
      </w:pPr>
    </w:p>
    <w:p>
      <w:pPr>
        <w:ind w:left="500" w:hanging="492"/>
        <w:spacing w:after="0" w:line="282" w:lineRule="auto"/>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2025, to which this Certification is attached as Exhibit 32.1 (the “Report”),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660" w:val="left"/>
          <w:tab w:leader="none" w:pos="710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By:</w:t>
        <w:tab/>
        <w:t>/s/ STEVEN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Steven Lo</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spacing w:after="0"/>
        <w:tabs>
          <w:tab w:leader="none" w:pos="6660" w:val="left"/>
          <w:tab w:leader="none" w:pos="710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By:</w:t>
        <w:tab/>
        <w:t>/s/ JEROEN GRASMAN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Jeroen Grasman</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18 U.S.C. § 1350 has been provided to Vaxart, Inc. and will be retained by Vaxart, Inc. and furnished to the Securities and Exchange Commission or its staff upon request.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1)"/>
      <w:numFmt w:val="lowerRoman"/>
      <w:start w:val="2"/>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lvl w:ilvl="1">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lowerRoman"/>
      <w:start w:val="1"/>
    </w:lvl>
  </w:abstractNum>
  <w:abstractNum w:abstractNumId="40">
    <w:nsid w:val="15B5AF5C"/>
    <w:multiLevelType w:val="hybridMultilevel"/>
    <w:lvl w:ilvl="0">
      <w:lvlJc w:val="left"/>
      <w:lvlText w:val="(%1)"/>
      <w:numFmt w:val="lowerLetter"/>
      <w:start w:val="1"/>
    </w:lvl>
  </w:abstractNum>
  <w:abstractNum w:abstractNumId="41">
    <w:nsid w:val="741226BB"/>
    <w:multiLevelType w:val="hybridMultilevel"/>
    <w:lvl w:ilvl="0">
      <w:lvlJc w:val="left"/>
      <w:lvlText w:val="(%1)"/>
      <w:numFmt w:val="lowerLetter"/>
      <w:start w:val="2"/>
    </w:lvl>
  </w:abstractNum>
  <w:abstractNum w:abstractNumId="42">
    <w:nsid w:val="D34B6A8"/>
    <w:multiLevelType w:val="hybridMultilevel"/>
    <w:lvl w:ilvl="0">
      <w:lvlJc w:val="left"/>
      <w:lvlText w:val="(%1)"/>
      <w:numFmt w:val="lowerLetter"/>
      <w:start w:val="3"/>
    </w:lvl>
  </w:abstractNum>
  <w:abstractNum w:abstractNumId="43">
    <w:nsid w:val="10233C99"/>
    <w:multiLevelType w:val="hybridMultilevel"/>
    <w:lvl w:ilvl="0">
      <w:lvlJc w:val="left"/>
      <w:lvlText w:val="(%1)"/>
      <w:numFmt w:val="lowerLetter"/>
      <w:start w:val="6"/>
    </w:lvl>
  </w:abstractNum>
  <w:abstractNum w:abstractNumId="44">
    <w:nsid w:val="3F6AB60F"/>
    <w:multiLevelType w:val="hybridMultilevel"/>
    <w:lvl w:ilvl="0">
      <w:lvlJc w:val="left"/>
      <w:lvlText w:val="(%1)"/>
      <w:numFmt w:val="lowerLetter"/>
      <w:start w:val="7"/>
    </w:lvl>
  </w:abstractNum>
  <w:abstractNum w:abstractNumId="45">
    <w:nsid w:val="61574095"/>
    <w:multiLevelType w:val="hybridMultilevel"/>
    <w:lvl w:ilvl="0">
      <w:lvlJc w:val="left"/>
      <w:lvlText w:val="(%1)"/>
      <w:numFmt w:val="lowerLetter"/>
      <w:start w:val="8"/>
    </w:lvl>
  </w:abstractNum>
  <w:abstractNum w:abstractNumId="46">
    <w:nsid w:val="7E0C57B1"/>
    <w:multiLevelType w:val="hybridMultilevel"/>
    <w:lvl w:ilvl="0">
      <w:lvlJc w:val="left"/>
      <w:lvlText w:val="(%1)"/>
      <w:numFmt w:val="lowerRoman"/>
      <w:start w:val="1"/>
    </w:lvl>
  </w:abstractNum>
  <w:abstractNum w:abstractNumId="47">
    <w:nsid w:val="77AE35EB"/>
    <w:multiLevelType w:val="hybridMultilevel"/>
    <w:lvl w:ilvl="0">
      <w:lvlJc w:val="left"/>
      <w:lvlText w:val="(%1)"/>
      <w:numFmt w:val="lowerLetter"/>
      <w:start w:val="10"/>
    </w:lvl>
  </w:abstractNum>
  <w:abstractNum w:abstractNumId="48">
    <w:nsid w:val="579BE4F1"/>
    <w:multiLevelType w:val="hybridMultilevel"/>
    <w:lvl w:ilvl="0">
      <w:lvlJc w:val="left"/>
      <w:lvlText w:val="(%1)"/>
      <w:numFmt w:val="lowerLetter"/>
      <w:start w:val="11"/>
    </w:lvl>
  </w:abstractNum>
  <w:abstractNum w:abstractNumId="49">
    <w:nsid w:val="310C50B3"/>
    <w:multiLevelType w:val="hybridMultilevel"/>
    <w:lvl w:ilvl="0">
      <w:lvlJc w:val="left"/>
      <w:lvlText w:val="(%1)"/>
      <w:numFmt w:val="lowerLetter"/>
      <w:start w:val="12"/>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2"/>
    </w:lvl>
  </w:abstractNum>
  <w:abstractNum w:abstractNumId="54">
    <w:nsid w:val="4AD084E9"/>
    <w:multiLevelType w:val="hybridMultilevel"/>
    <w:lvl w:ilvl="0">
      <w:lvlJc w:val="left"/>
      <w:lvlText w:val="(%1)"/>
      <w:numFmt w:val="lowerLetter"/>
      <w:start w:val="3"/>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Letter"/>
      <w:start w:val="2"/>
    </w:lvl>
  </w:abstractNum>
  <w:abstractNum w:abstractNumId="57">
    <w:nsid w:val="5DB70AE5"/>
    <w:multiLevelType w:val="hybridMultilevel"/>
    <w:lvl w:ilvl="0">
      <w:lvlJc w:val="left"/>
      <w:lvlText w:val="(%1)"/>
      <w:numFmt w:val="lowerLetter"/>
      <w:start w:val="3"/>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
      <w:numFmt w:val="bullet"/>
      <w:start w:val="1"/>
    </w:lvl>
    <w:lvl w:ilvl="1">
      <w:lvlJc w:val="left"/>
      <w:lvlText w:val="%2"/>
      <w:numFmt w:val="decimal"/>
      <w:start w:val="104"/>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1."/>
      <w:numFmt w:val="upperLetter"/>
      <w:start w:val="1"/>
    </w:lvl>
  </w:abstractNum>
  <w:abstractNum w:abstractNumId="70">
    <w:nsid w:val="540A471C"/>
    <w:multiLevelType w:val="hybridMultilevel"/>
    <w:lvl w:ilvl="0">
      <w:lvlJc w:val="left"/>
      <w:lvlText w:val="%1."/>
      <w:numFmt w:val="decimal"/>
      <w:start w:val="1"/>
    </w:lvl>
  </w:abstractNum>
  <w:abstractNum w:abstractNumId="71">
    <w:nsid w:val="7BD3EE7B"/>
    <w:multiLevelType w:val="hybridMultilevel"/>
    <w:lvl w:ilvl="0">
      <w:lvlJc w:val="left"/>
      <w:lvlText w:val="%1."/>
      <w:numFmt w:val="decimal"/>
      <w:start w:val="4"/>
    </w:lvl>
    <w:lvl w:ilvl="1">
      <w:lvlJc w:val="left"/>
      <w:lvlText w:val="(%2)"/>
      <w:numFmt w:val="lowerLetter"/>
      <w:start w:val="1"/>
    </w:lvl>
  </w:abstractNum>
  <w:abstractNum w:abstractNumId="72">
    <w:nsid w:val="51D9C564"/>
    <w:multiLevelType w:val="hybridMultilevel"/>
    <w:lvl w:ilvl="0">
      <w:lvlJc w:val="left"/>
      <w:lvlText w:val="%1."/>
      <w:numFmt w:val="decimal"/>
      <w:start w:val="6"/>
    </w:lvl>
  </w:abstractNum>
  <w:abstractNum w:abstractNumId="73">
    <w:nsid w:val="613EFDC5"/>
    <w:multiLevelType w:val="hybridMultilevel"/>
    <w:lvl w:ilvl="0">
      <w:lvlJc w:val="left"/>
      <w:lvlText w:val="%1."/>
      <w:numFmt w:val="decimal"/>
      <w:start w:val="7"/>
    </w:lvl>
  </w:abstractNum>
  <w:abstractNum w:abstractNumId="74">
    <w:nsid w:val="BF72B14"/>
    <w:multiLevelType w:val="hybridMultilevel"/>
    <w:lvl w:ilvl="0">
      <w:lvlJc w:val="left"/>
      <w:lvlText w:val="%1."/>
      <w:numFmt w:val="decimal"/>
      <w:start w:val="10"/>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83" Type="http://schemas.openxmlformats.org/officeDocument/2006/relationships/image" Target="media/image148.png"/><Relationship Id="rId233" Type="http://schemas.openxmlformats.org/officeDocument/2006/relationships/image" Target="media/image149.png"/><Relationship Id="rId235" Type="http://schemas.openxmlformats.org/officeDocument/2006/relationships/image" Target="media/image150.png"/><Relationship Id="rId236" Type="http://schemas.openxmlformats.org/officeDocument/2006/relationships/image" Target="media/image151.png"/><Relationship Id="rId237" Type="http://schemas.openxmlformats.org/officeDocument/2006/relationships/image" Target="media/image152.png"/><Relationship Id="rId238" Type="http://schemas.openxmlformats.org/officeDocument/2006/relationships/image" Target="media/image153.png"/><Relationship Id="rId239" Type="http://schemas.openxmlformats.org/officeDocument/2006/relationships/image" Target="media/image154.png"/><Relationship Id="rId240" Type="http://schemas.openxmlformats.org/officeDocument/2006/relationships/image" Target="media/image155.png"/><Relationship Id="rId241" Type="http://schemas.openxmlformats.org/officeDocument/2006/relationships/image" Target="media/image156.png"/><Relationship Id="rId242" Type="http://schemas.openxmlformats.org/officeDocument/2006/relationships/image" Target="media/image157.png"/><Relationship Id="rId243" Type="http://schemas.openxmlformats.org/officeDocument/2006/relationships/image" Target="media/image158.png"/><Relationship Id="rId244" Type="http://schemas.openxmlformats.org/officeDocument/2006/relationships/image" Target="media/image159.png"/><Relationship Id="rId245" Type="http://schemas.openxmlformats.org/officeDocument/2006/relationships/image" Target="media/image160.png"/><Relationship Id="rId246" Type="http://schemas.openxmlformats.org/officeDocument/2006/relationships/image" Target="media/image161.png"/><Relationship Id="rId247" Type="http://schemas.openxmlformats.org/officeDocument/2006/relationships/image" Target="media/image162.png"/><Relationship Id="rId155" Type="http://schemas.openxmlformats.org/officeDocument/2006/relationships/hyperlink" Target="http://www.sec.gov/Archives/edgar/data/72444/000143774917017777/ex_97866.htm" TargetMode="External"/><Relationship Id="rId156" Type="http://schemas.openxmlformats.org/officeDocument/2006/relationships/hyperlink" Target="http://www.sec.gov/Archives/edgar/data/72444/000143774918001951/ex_104594.htm" TargetMode="External"/><Relationship Id="rId157" Type="http://schemas.openxmlformats.org/officeDocument/2006/relationships/hyperlink" Target="http://www.sec.gov/Archives/edgar/data/72444/000143774916038645/ex3-1.htm" TargetMode="External"/><Relationship Id="rId158" Type="http://schemas.openxmlformats.org/officeDocument/2006/relationships/hyperlink" Target="http://www.sec.gov/Archives/edgar/data/72444/000119312518049470/d536843dex31.htm" TargetMode="External"/><Relationship Id="rId159" Type="http://schemas.openxmlformats.org/officeDocument/2006/relationships/hyperlink" Target="http://www.sec.gov/Archives/edgar/data/72444/000119312518049470/d536843dex32.htm" TargetMode="External"/><Relationship Id="rId160" Type="http://schemas.openxmlformats.org/officeDocument/2006/relationships/hyperlink" Target="http://www.sec.gov/Archives/edgar/data/72444/000143774919007847/ex_141491.htm" TargetMode="External"/><Relationship Id="rId161" Type="http://schemas.openxmlformats.org/officeDocument/2006/relationships/hyperlink" Target="http://www.sec.gov/Archives/edgar/data/72444/000143774920012735/ex_189396.htm" TargetMode="External"/><Relationship Id="rId162" Type="http://schemas.openxmlformats.org/officeDocument/2006/relationships/hyperlink" Target="http://www.sec.gov/Archives/edgar/data/72444/000143774922019415/ex_404948.htm" TargetMode="External"/><Relationship Id="rId163" Type="http://schemas.openxmlformats.org/officeDocument/2006/relationships/hyperlink" Target="http://www.sec.gov/Archives/edgar/data/72444/000143774924020194/ex_687496.htm" TargetMode="External"/><Relationship Id="rId164" Type="http://schemas.openxmlformats.org/officeDocument/2006/relationships/hyperlink" Target="http://www.sec.gov/Archives/edgar/data/72444/000143774923028774/ex_584587.htm" TargetMode="External"/><Relationship Id="rId165" Type="http://schemas.openxmlformats.org/officeDocument/2006/relationships/hyperlink" Target="http://www.sec.gov/Archives/edgar/data/72444/000151316218000319/exhibit4_2.htm" TargetMode="External"/><Relationship Id="rId166" Type="http://schemas.openxmlformats.org/officeDocument/2006/relationships/hyperlink" Target="http://www.sec.gov/Archives/edgar/data/72444/000104746919000376/a2237660zex-10_25.htm" TargetMode="External"/><Relationship Id="rId167" Type="http://schemas.openxmlformats.org/officeDocument/2006/relationships/hyperlink" Target="http://www.sec.gov/Archives/edgar/data/72444/000104746919002040/a2238393zex-4_4.htm" TargetMode="External"/><Relationship Id="rId168" Type="http://schemas.openxmlformats.org/officeDocument/2006/relationships/hyperlink" Target="http://www.sec.gov/Archives/edgar/data/72444/000104746919002040/a2238393zex-4_5.htm" TargetMode="External"/><Relationship Id="rId169" Type="http://schemas.openxmlformats.org/officeDocument/2006/relationships/hyperlink" Target="http://www.sec.gov/Archives/edgar/data/72444/000104746919005145/a2239642zex-4_3.htm" TargetMode="External"/><Relationship Id="rId170" Type="http://schemas.openxmlformats.org/officeDocument/2006/relationships/hyperlink" Target="http://www.sec.gov/Archives/edgar/data/72444/000104746919005145/a2239642zex-4_4.htm" TargetMode="External"/><Relationship Id="rId171" Type="http://schemas.openxmlformats.org/officeDocument/2006/relationships/hyperlink" Target="http://www.sec.gov/Archives/edgar/data/72444/000104746919005429/a2239755zex-4_5.htm" TargetMode="External"/><Relationship Id="rId172" Type="http://schemas.openxmlformats.org/officeDocument/2006/relationships/hyperlink" Target="http://www.sec.gov/Archives/edgar/data/72444/000143774920004112/ex_174753.htm" TargetMode="External"/><Relationship Id="rId173" Type="http://schemas.openxmlformats.org/officeDocument/2006/relationships/hyperlink" Target="http://www.sec.gov/Archives/edgar/data/72444/000143774920004112/ex_174754.htm" TargetMode="External"/><Relationship Id="rId174" Type="http://schemas.openxmlformats.org/officeDocument/2006/relationships/hyperlink" Target="http://www.sec.gov/Archives/edgar/data/72444/000119312518049470/d536843dex102.htm" TargetMode="External"/><Relationship Id="rId175" Type="http://schemas.openxmlformats.org/officeDocument/2006/relationships/hyperlink" Target="http://www.sec.gov/Archives/edgar/data/72444/000143774913005823/ex10-5.htm" TargetMode="External"/><Relationship Id="rId176" Type="http://schemas.openxmlformats.org/officeDocument/2006/relationships/hyperlink" Target="http://www.sec.gov/Archives/edgar/data/72444/000143774913005823/ex10-6.htm" TargetMode="External"/><Relationship Id="rId177" Type="http://schemas.openxmlformats.org/officeDocument/2006/relationships/hyperlink" Target="http://www.sec.gov/Archives/edgar/data/72444/000143774913005823/ex10-7.htm" TargetMode="External"/><Relationship Id="rId178" Type="http://schemas.openxmlformats.org/officeDocument/2006/relationships/hyperlink" Target="http://www.sec.gov/Archives/edgar/data/72444/000143774913005823/ex10-8.htm" TargetMode="External"/><Relationship Id="rId179" Type="http://schemas.openxmlformats.org/officeDocument/2006/relationships/hyperlink" Target="http://www.sec.gov/Archives/edgar/data/72444/000143774913005823/ex10-9.htm" TargetMode="External"/><Relationship Id="rId180" Type="http://schemas.openxmlformats.org/officeDocument/2006/relationships/hyperlink" Target="http://www.sec.gov/Archives/edgar/data/72444/000143774913012393/ex10-6.htm" TargetMode="External"/><Relationship Id="rId181" Type="http://schemas.openxmlformats.org/officeDocument/2006/relationships/hyperlink" Target="http://www.sec.gov/Archives/edgar/data/72444/000119312507079679/ddef14a.htm" TargetMode="External"/><Relationship Id="rId182" Type="http://schemas.openxmlformats.org/officeDocument/2006/relationships/hyperlink" Target="http://www.sec.gov/Archives/edgar/data/72444/000143774913015786/ex10-1.htm" TargetMode="External"/><Relationship Id="rId184" Type="http://schemas.openxmlformats.org/officeDocument/2006/relationships/hyperlink" Target="http://www.sec.gov/Archives/edgar/data/72444/000143774916029948/ex10-1.htm" TargetMode="External"/><Relationship Id="rId185" Type="http://schemas.openxmlformats.org/officeDocument/2006/relationships/hyperlink" Target="http://www.sec.gov/Archives/edgar/data/72444/000143774916029948/ex10-2.htm" TargetMode="External"/><Relationship Id="rId186" Type="http://schemas.openxmlformats.org/officeDocument/2006/relationships/hyperlink" Target="http://www.sec.gov/Archives/edgar/data/72444/000143774917008297/ex10-1.htm" TargetMode="External"/><Relationship Id="rId187" Type="http://schemas.openxmlformats.org/officeDocument/2006/relationships/hyperlink" Target="http://www.sec.gov/Archives/edgar/data/72444/000143774916039160/bota20160927_def14a.htm" TargetMode="External"/><Relationship Id="rId188" Type="http://schemas.openxmlformats.org/officeDocument/2006/relationships/hyperlink" Target="http://www.sec.gov/Archives/edgar/data/72444/000143774917020581/ex_101915.htm" TargetMode="External"/><Relationship Id="rId189" Type="http://schemas.openxmlformats.org/officeDocument/2006/relationships/hyperlink" Target="http://www.sec.gov/Archives/edgar/data/72444/000119312518049470/d536843dex103.htm" TargetMode="External"/><Relationship Id="rId190" Type="http://schemas.openxmlformats.org/officeDocument/2006/relationships/hyperlink" Target="http://www.sec.gov/Archives/edgar/data/72444/000143774917021271/ex_102435.htm" TargetMode="External"/><Relationship Id="rId191" Type="http://schemas.openxmlformats.org/officeDocument/2006/relationships/hyperlink" Target="http://www.sec.gov/Archives/edgar/data/72444/000143774917021271/ex_102448.htm" TargetMode="External"/><Relationship Id="rId192" Type="http://schemas.openxmlformats.org/officeDocument/2006/relationships/hyperlink" Target="http://www.sec.gov/Archives/edgar/data/72444/000143774917021271/ex_102449.htm" TargetMode="External"/><Relationship Id="rId193" Type="http://schemas.openxmlformats.org/officeDocument/2006/relationships/hyperlink" Target="http://www.sec.gov/Archives/edgar/data/72444/000151316218000154/exhibit10_1.htm" TargetMode="External"/><Relationship Id="rId194" Type="http://schemas.openxmlformats.org/officeDocument/2006/relationships/hyperlink" Target="http://www.sec.gov/Archives/edgar/data/72444/000143774920014783/ex_192635.htm" TargetMode="External"/><Relationship Id="rId195" Type="http://schemas.openxmlformats.org/officeDocument/2006/relationships/hyperlink" Target="http://www.sec.gov/Archives/edgar/data/72444/000143774920014783/ex_192636.htm" TargetMode="External"/><Relationship Id="rId196" Type="http://schemas.openxmlformats.org/officeDocument/2006/relationships/hyperlink" Target="http://www.sec.gov/Archives/edgar/data/72444/000143774919007847/ex_141494.htm" TargetMode="External"/><Relationship Id="rId197" Type="http://schemas.openxmlformats.org/officeDocument/2006/relationships/hyperlink" Target="http://www.sec.gov/Archives/edgar/data/72444/000104746919005429/a2239755zex-10_30.htm" TargetMode="External"/><Relationship Id="rId198" Type="http://schemas.openxmlformats.org/officeDocument/2006/relationships/hyperlink" Target="http://www.sec.gov/Archives/edgar/data/72444/000143774919018711/ex_158186.htm" TargetMode="External"/><Relationship Id="rId199" Type="http://schemas.openxmlformats.org/officeDocument/2006/relationships/hyperlink" Target="http://www.sec.gov/Archives/edgar/data/72444/000143774920010425/ex_184915.htm" TargetMode="External"/><Relationship Id="rId200" Type="http://schemas.openxmlformats.org/officeDocument/2006/relationships/hyperlink" Target="http://www.sec.gov/Archives/edgar/data/72444/000143774920013152/ex_190535.htm" TargetMode="External"/><Relationship Id="rId201" Type="http://schemas.openxmlformats.org/officeDocument/2006/relationships/hyperlink" Target="http://www.sec.gov/Archives/edgar/data/72444/000143774920023615/ex_212784.htm" TargetMode="External"/><Relationship Id="rId202" Type="http://schemas.openxmlformats.org/officeDocument/2006/relationships/hyperlink" Target="http://www.sec.gov/Archives/edgar/data/72444/000143774920023615/ex_212785.htm" TargetMode="External"/><Relationship Id="rId203" Type="http://schemas.openxmlformats.org/officeDocument/2006/relationships/hyperlink" Target="http://www.sec.gov/Archives/edgar/data/72444/000143774920023615/ex_212786.htm" TargetMode="External"/><Relationship Id="rId204" Type="http://schemas.openxmlformats.org/officeDocument/2006/relationships/hyperlink" Target="http://www.sec.gov/Archives/edgar/data/72444/000143774921004115/ex_224964.htm" TargetMode="External"/><Relationship Id="rId205" Type="http://schemas.openxmlformats.org/officeDocument/2006/relationships/hyperlink" Target="http://www.sec.gov/Archives/edgar/data/0000072444/000143774921022493/ex_285460.htm" TargetMode="External"/><Relationship Id="rId206" Type="http://schemas.openxmlformats.org/officeDocument/2006/relationships/hyperlink" Target="http://www.sec.gov/Archives/edgar/data/0000072444/000143774921022493/ex_285461.htm" TargetMode="External"/><Relationship Id="rId207" Type="http://schemas.openxmlformats.org/officeDocument/2006/relationships/hyperlink" Target="http://www.sec.gov/Archives/edgar/data/72444/000143774921025287/ex_290201.htm" TargetMode="External"/><Relationship Id="rId208" Type="http://schemas.openxmlformats.org/officeDocument/2006/relationships/hyperlink" Target="http://www.sec.gov/Archives/edgar/data/72444/000143774922004354/ex_335023.htm" TargetMode="External"/><Relationship Id="rId209" Type="http://schemas.openxmlformats.org/officeDocument/2006/relationships/hyperlink" Target="http://www.sec.gov/Archives/edgar/data/72444/000143774922011554/ex_364726.htm" TargetMode="External"/><Relationship Id="rId210" Type="http://schemas.openxmlformats.org/officeDocument/2006/relationships/hyperlink" Target="http://www.sec.gov/Archives/edgar/data/72444/000143774924025556/ex_709042.htm" TargetMode="External"/><Relationship Id="rId211" Type="http://schemas.openxmlformats.org/officeDocument/2006/relationships/hyperlink" Target="http://www.sec.gov/Archives/edgar/data/72444/000143774922019415/ex_405687.htm" TargetMode="External"/><Relationship Id="rId212" Type="http://schemas.openxmlformats.org/officeDocument/2006/relationships/hyperlink" Target="http://www.sec.gov/Archives/edgar/data/72444/000143774924020194/ex_687497.htm" TargetMode="External"/><Relationship Id="rId213" Type="http://schemas.openxmlformats.org/officeDocument/2006/relationships/hyperlink" Target="http://www.sec.gov/Archives/edgar/data/72444/000143774924020194/ex_687498.htm" TargetMode="External"/><Relationship Id="rId214" Type="http://schemas.openxmlformats.org/officeDocument/2006/relationships/hyperlink" Target="http://www.sec.gov/Archives/edgar/data/72444/000143774923006688/ex_473277.htm" TargetMode="External"/><Relationship Id="rId215" Type="http://schemas.openxmlformats.org/officeDocument/2006/relationships/hyperlink" Target="http://www.sec.gov/Archives/edgar/data/72444/000143774923012560/ex_513186.htm" TargetMode="External"/><Relationship Id="rId216" Type="http://schemas.openxmlformats.org/officeDocument/2006/relationships/hyperlink" Target="http://www.sec.gov/Archives/edgar/data/72444/000143774923012560/ex_513187.htm" TargetMode="External"/><Relationship Id="rId217" Type="http://schemas.openxmlformats.org/officeDocument/2006/relationships/hyperlink" Target="http://www.sec.gov/Archives/edgar/data/72444/000143774924001326/ex_615318.htm" TargetMode="External"/><Relationship Id="rId218" Type="http://schemas.openxmlformats.org/officeDocument/2006/relationships/hyperlink" Target="http://www.sec.gov/Archives/edgar/data/72444/000143774924007865/ex_639243.htm" TargetMode="External"/><Relationship Id="rId219" Type="http://schemas.openxmlformats.org/officeDocument/2006/relationships/hyperlink" Target="http://www.sec.gov/Archives/edgar/data/72444/000143774924001419/ex_615503.htm" TargetMode="External"/><Relationship Id="rId220" Type="http://schemas.openxmlformats.org/officeDocument/2006/relationships/hyperlink" Target="http://www.sec.gov/Archives/edgar/data/72444/000143774924002971/ex_622122.htm" TargetMode="External"/><Relationship Id="rId221" Type="http://schemas.openxmlformats.org/officeDocument/2006/relationships/hyperlink" Target="http://www.sec.gov/Archives/edgar/data/72444/000143774924006109/ex_631955.htm" TargetMode="External"/><Relationship Id="rId222" Type="http://schemas.openxmlformats.org/officeDocument/2006/relationships/hyperlink" Target="http://www.sec.gov/Archives/edgar/data/72444/000143774924006109/ex_631956.htm" TargetMode="External"/><Relationship Id="rId223" Type="http://schemas.openxmlformats.org/officeDocument/2006/relationships/hyperlink" Target="http://www.sec.gov/Archives/edgar/data/72444/000143774924006109/ex_631957.htm" TargetMode="External"/><Relationship Id="rId224" Type="http://schemas.openxmlformats.org/officeDocument/2006/relationships/hyperlink" Target="http://www.sec.gov/Archives/edgar/data/72444/000143774924006743/ex_635311.htm" TargetMode="External"/><Relationship Id="rId225" Type="http://schemas.openxmlformats.org/officeDocument/2006/relationships/hyperlink" Target="http://www.sec.gov/Archives/edgar/data/72444/000143774924025556/ex_709229.htm" TargetMode="External"/><Relationship Id="rId226" Type="http://schemas.openxmlformats.org/officeDocument/2006/relationships/hyperlink" Target="http://www.sec.gov/Archives/edgar/data/72444/000143774924025556/ex_709230.htm" TargetMode="External"/><Relationship Id="rId227" Type="http://schemas.openxmlformats.org/officeDocument/2006/relationships/hyperlink" Target="http://www.sec.gov/Archives/edgar/data/72444/000143774924034927/ex_743953.htm" TargetMode="External"/><Relationship Id="rId228" Type="http://schemas.openxmlformats.org/officeDocument/2006/relationships/hyperlink" Target="http://www.sec.gov/Archives/edgar/data/72444/000143774925003319/ex_776577.htm" TargetMode="External"/><Relationship Id="rId229" Type="http://schemas.openxmlformats.org/officeDocument/2006/relationships/hyperlink" Target="http://www.sec.gov/Archives/edgar/data/72444/000143774925034840/ex_887368.htm" TargetMode="External"/><Relationship Id="rId230" Type="http://schemas.openxmlformats.org/officeDocument/2006/relationships/hyperlink" Target="http://www.sec.gov/Archives/edgar/data/72444/000143774925034840/ex_887369.htm" TargetMode="External"/><Relationship Id="rId231" Type="http://schemas.openxmlformats.org/officeDocument/2006/relationships/hyperlink" Target="http://www.sec.gov/Archives/edgar/data/72444/000143774923012560/ex_513188.htm" TargetMode="External"/><Relationship Id="rId232" Type="http://schemas.openxmlformats.org/officeDocument/2006/relationships/hyperlink" Target="http://www.sec.gov/Archives/edgar/data/72444/000143774924007865/ex_638638.htm" TargetMode="External"/><Relationship Id="rId234" Type="http://schemas.openxmlformats.org/officeDocument/2006/relationships/hyperlink" Target="http://www.sec.gov/Archives/edgar/data/72444/000143774924007865/ex_6249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2026-03-13T05:27:17Z</dcterms:created>
  <dcterms:modified xsi:type="dcterms:W3CDTF">2026-03-13T05:27:17Z</dcterms:modified>
</cp:coreProperties>
</file>