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139"/>
          </w:cols>
          <w:pgMar w:left="320" w:top="509"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780" w:space="720"/>
            <w:col w:w="5639"/>
          </w:cols>
          <w:pgMar w:left="320" w:top="509"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09"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Social media communications relating to Vaxart, Inc.’s upcoming annual meeting are provided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X</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Today $VXRT announced an agreement with a group of shareholders to resolve our proxy contest, reflecting our commitment to strong corporate governance and shareholder engagement. We remain focused on the important milestones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more: bit.ly/3TccubY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LinkedIn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pleased to have reached an agreement with a group of shareholders to resolve our proxy contest, reflecting our commitment to strong corporate governance and shareholder engagement.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Vaxart approaches a series of clinical, regulatory and operational milestones, we remain fully focused on executing our strategy and maximizing value as we work to validate our oral vaccine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confident that Vaxart has the leadership, expertise and focus needed to deliver on the opportunities ahead.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more: http://bit.ly/3TccubY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797300" cy="509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97300" cy="509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77" w:right="4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1802765</wp:posOffset>
            </wp:positionH>
            <wp:positionV relativeFrom="page">
              <wp:posOffset>568960</wp:posOffset>
            </wp:positionV>
            <wp:extent cx="3943350" cy="5888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943350" cy="588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and other risks and uncertainties described in the “Risk Factors” sections of Vaxart’s most recent Annual Report on Form 10-K, as amended,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264-1527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Adam Pollack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2026-07-02T16:38:15Z</dcterms:created>
  <dcterms:modified xsi:type="dcterms:W3CDTF">2026-07-02T16:38:15Z</dcterms:modified>
</cp:coreProperties>
</file>