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caps w:val="false"/>
          <w:smallCaps w:val="false"/>
          <w:sz w:val="20"/>
        </w:rPr>
      </w:pPr>
      <w:bookmarkStart w:id="0" w:name="vxrt20261016_8k.htm"/>
      <w:bookmarkStart w:id="1" w:name="ksvxrt20261016_8k"/>
      <w:bookmarkEnd w:id="0"/>
      <w:bookmarkEnd w:id="1"/>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 8-K</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3860"/>
        <w:gridCol w:w="60"/>
        <w:gridCol w:w="1430"/>
      </w:tblGrid>
      <w:tr>
        <w:trPr/>
        <w:tc>
          <w:tcPr>
            <w:tcW w:w="38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Date of Report (Date of earliest event reported):</w:t>
            </w:r>
          </w:p>
        </w:tc>
        <w:tc>
          <w:tcPr>
            <w:tcW w:w="60" w:type="dxa"/>
            <w:tcBorders/>
            <w:vAlign w:val="center"/>
          </w:tcPr>
          <w:p>
            <w:pPr>
              <w:pStyle w:val="TableContents"/>
              <w:bidi w:val="0"/>
              <w:spacing w:before="0" w:after="0"/>
              <w:ind w:left="0" w:right="0" w:hanging="0"/>
              <w:jc w:val="left"/>
              <w:rPr/>
            </w:pPr>
            <w:r>
              <w:rPr/>
              <w:t> </w:t>
            </w:r>
          </w:p>
        </w:tc>
        <w:tc>
          <w:tcPr>
            <w:tcW w:w="14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16, 2026</w:t>
            </w:r>
          </w:p>
        </w:tc>
      </w:tr>
    </w:tbl>
    <w:p>
      <w:pPr>
        <w:pStyle w:val="TextBody"/>
        <w:bidi w:val="0"/>
        <w:spacing w:before="0" w:after="0"/>
        <w:ind w:left="0" w:right="0" w:hanging="0"/>
        <w:jc w:val="left"/>
        <w:rPr>
          <w:caps w:val="false"/>
          <w:smallCaps w:val="false"/>
        </w:rPr>
      </w:pPr>
      <w:r>
        <w:rPr>
          <w:caps w:val="false"/>
          <w:smallCaps w:val="false"/>
        </w:rPr>
        <w:t> </w:t>
      </w:r>
    </w:p>
    <w:tbl>
      <w:tblPr>
        <w:tblW w:w="4265" w:type="dxa"/>
        <w:jc w:val="left"/>
        <w:tblInd w:w="0" w:type="dxa"/>
        <w:tblLayout w:type="fixed"/>
        <w:tblCellMar>
          <w:top w:w="0" w:type="dxa"/>
          <w:left w:w="0" w:type="dxa"/>
          <w:bottom w:w="0" w:type="dxa"/>
          <w:right w:w="0" w:type="dxa"/>
        </w:tblCellMar>
      </w:tblPr>
      <w:tblGrid>
        <w:gridCol w:w="60"/>
        <w:gridCol w:w="4145"/>
        <w:gridCol w:w="60"/>
      </w:tblGrid>
      <w:tr>
        <w:trPr/>
        <w:tc>
          <w:tcPr>
            <w:tcW w:w="60" w:type="dxa"/>
            <w:tcBorders/>
            <w:vAlign w:val="center"/>
          </w:tcPr>
          <w:p>
            <w:pPr>
              <w:pStyle w:val="TableContents"/>
              <w:bidi w:val="0"/>
              <w:spacing w:before="0" w:after="0"/>
              <w:ind w:left="0" w:right="0" w:hanging="0"/>
              <w:jc w:val="left"/>
              <w:rPr/>
            </w:pPr>
            <w:r>
              <w:rPr/>
              <w:t> </w:t>
            </w:r>
          </w:p>
        </w:tc>
        <w:tc>
          <w:tcPr>
            <w:tcW w:w="4145"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Vaxart, Inc.</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1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670" w:type="dxa"/>
        <w:jc w:val="left"/>
        <w:tblInd w:w="0" w:type="dxa"/>
        <w:tblLayout w:type="fixed"/>
        <w:tblCellMar>
          <w:top w:w="0" w:type="dxa"/>
          <w:left w:w="0" w:type="dxa"/>
          <w:bottom w:w="28" w:type="dxa"/>
          <w:right w:w="0" w:type="dxa"/>
        </w:tblCellMar>
      </w:tblPr>
      <w:tblGrid>
        <w:gridCol w:w="3575"/>
        <w:gridCol w:w="60"/>
        <w:gridCol w:w="2210"/>
        <w:gridCol w:w="60"/>
        <w:gridCol w:w="2765"/>
      </w:tblGrid>
      <w:tr>
        <w:trPr/>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001-35285</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59-1212264</w:t>
            </w:r>
          </w:p>
        </w:tc>
      </w:tr>
      <w:tr>
        <w:trPr/>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r>
        <w:trPr/>
        <w:tc>
          <w:tcPr>
            <w:tcW w:w="35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tcMar>
              <w:bottom w:w="0" w:type="dxa"/>
            </w:tcMar>
            <w:vAlign w:val="center"/>
          </w:tcPr>
          <w:p>
            <w:pPr>
              <w:pStyle w:val="TableContents"/>
              <w:bidi w:val="0"/>
              <w:spacing w:before="0" w:after="0"/>
              <w:ind w:left="0" w:right="0" w:hanging="0"/>
              <w:jc w:val="left"/>
              <w:rPr/>
            </w:pPr>
            <w:r>
              <w:rPr/>
              <w:t> </w:t>
            </w:r>
          </w:p>
        </w:tc>
      </w:tr>
      <w:tr>
        <w:trPr/>
        <w:tc>
          <w:tcPr>
            <w:tcW w:w="5845" w:type="dxa"/>
            <w:gridSpan w:val="3"/>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310 Utah Ave, Suite 150, South San Francisco, California</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94080</w:t>
            </w:r>
          </w:p>
        </w:tc>
      </w:tr>
      <w:tr>
        <w:trPr/>
        <w:tc>
          <w:tcPr>
            <w:tcW w:w="5845" w:type="dxa"/>
            <w:gridSpan w:val="3"/>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4265"/>
        <w:gridCol w:w="60"/>
        <w:gridCol w:w="1295"/>
      </w:tblGrid>
      <w:tr>
        <w:trPr/>
        <w:tc>
          <w:tcPr>
            <w:tcW w:w="426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c>
          <w:tcPr>
            <w:tcW w:w="60" w:type="dxa"/>
            <w:tcBorders/>
            <w:vAlign w:val="center"/>
          </w:tcPr>
          <w:p>
            <w:pPr>
              <w:pStyle w:val="TableContents"/>
              <w:bidi w:val="0"/>
              <w:spacing w:before="0" w:after="0"/>
              <w:ind w:left="0" w:right="0" w:hanging="0"/>
              <w:jc w:val="left"/>
              <w:rPr/>
            </w:pPr>
            <w:r>
              <w:rPr/>
              <w:t> </w:t>
            </w:r>
          </w:p>
        </w:tc>
        <w:tc>
          <w:tcPr>
            <w:tcW w:w="12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(650) 550-3500</w:t>
            </w:r>
          </w:p>
        </w:tc>
      </w:tr>
    </w:tbl>
    <w:p>
      <w:pPr>
        <w:pStyle w:val="TextBody"/>
        <w:bidi w:val="0"/>
        <w:spacing w:before="0" w:after="0"/>
        <w:ind w:left="0" w:right="0" w:hanging="0"/>
        <w:jc w:val="left"/>
        <w:rPr>
          <w:caps w:val="false"/>
          <w:smallCaps w:val="false"/>
        </w:rPr>
      </w:pPr>
      <w:r>
        <w:rPr>
          <w:caps w:val="false"/>
          <w:smallCaps w:val="false"/>
        </w:rPr>
        <w:t> </w:t>
      </w:r>
    </w:p>
    <w:tbl>
      <w:tblPr>
        <w:tblW w:w="5045" w:type="dxa"/>
        <w:jc w:val="left"/>
        <w:tblInd w:w="0" w:type="dxa"/>
        <w:tblLayout w:type="fixed"/>
        <w:tblCellMar>
          <w:top w:w="0" w:type="dxa"/>
          <w:left w:w="0" w:type="dxa"/>
          <w:bottom w:w="0" w:type="dxa"/>
          <w:right w:w="0" w:type="dxa"/>
        </w:tblCellMar>
      </w:tblPr>
      <w:tblGrid>
        <w:gridCol w:w="60"/>
        <w:gridCol w:w="4925"/>
        <w:gridCol w:w="60"/>
      </w:tblGrid>
      <w:tr>
        <w:trPr/>
        <w:tc>
          <w:tcPr>
            <w:tcW w:w="60" w:type="dxa"/>
            <w:tcBorders/>
            <w:vAlign w:val="center"/>
          </w:tcPr>
          <w:p>
            <w:pPr>
              <w:pStyle w:val="TableContents"/>
              <w:bidi w:val="0"/>
              <w:spacing w:before="0" w:after="0"/>
              <w:ind w:left="0" w:right="0" w:hanging="0"/>
              <w:jc w:val="left"/>
              <w:rPr/>
            </w:pPr>
            <w:r>
              <w:rPr/>
              <w:t> </w:t>
            </w:r>
          </w:p>
        </w:tc>
        <w:tc>
          <w:tcPr>
            <w:tcW w:w="49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 Applicable</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9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35" w:type="dxa"/>
        <w:jc w:val="left"/>
        <w:tblInd w:w="0" w:type="dxa"/>
        <w:tblLayout w:type="fixed"/>
        <w:tblCellMar>
          <w:top w:w="0" w:type="dxa"/>
          <w:left w:w="0" w:type="dxa"/>
          <w:bottom w:w="28" w:type="dxa"/>
          <w:right w:w="0" w:type="dxa"/>
        </w:tblCellMar>
      </w:tblPr>
      <w:tblGrid>
        <w:gridCol w:w="2930"/>
        <w:gridCol w:w="60"/>
        <w:gridCol w:w="1310"/>
        <w:gridCol w:w="60"/>
        <w:gridCol w:w="3575"/>
      </w:tblGrid>
      <w:tr>
        <w:trPr/>
        <w:tc>
          <w:tcPr>
            <w:tcW w:w="293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1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93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$0.0001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1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VXRT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540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The registrant’s common stock is quoted on the OTCQX® Best Market under the symbol “VXRT.”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798"/>
        <w:gridCol w:w="9407"/>
      </w:tblGrid>
      <w:tr>
        <w:trPr/>
        <w:tc>
          <w:tcPr>
            <w:tcW w:w="798"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5.02</w:t>
            </w:r>
          </w:p>
        </w:tc>
        <w:tc>
          <w:tcPr>
            <w:tcW w:w="9407"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16, 2026, following a recommendation by the Nominating and Governance Committee of the Board of Directors (the “Board”) of Vaxart, Inc. (the “Company”), the Board appointed Raquel C. Bono, M.D., M.B.A., FACS, to serve on the Board, effective immediately, and until Dr. Bono’s successor is elected and qualified, or sooner in the event of her death, resignation, or removal. The Board has determined that Dr. Bono meets the independence standards adopted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 Bono has served as the Principal of RCB Consulting, LLC since October 2019 and served as Chief Executive Officer and Chief of Surgical Innovation of Medical iSight, a software-as-a-medical-device company developing three-dimensional navigational imaging for minimally invasive interventional procedures, from April 2024 to May 2026. From March 2020 to May 2023, at the appointment of the Governor of Washington, she served as Director of Washington State’s COVID-19 Health System Response Management. Dr. Bono served as Chief Health Officer of Viking Cruises (NYSE: VIK) from November 2020 until December 2023. Dr. Bono retired from the United States Navy as a Vice Admiral in 2019 after a career of more than 30 years in the Navy Medical Corps, during which she served as Director of the Defense Health Agency from 2015 to 2019, leading a joint, integrated combat support agency responsible for a $50 billion worldwide health care enterprise, and, earlier, as Commanding Officer of Naval Hospital Jacksonville, as Chief of Staff and Deputy Director of the TRICARE Management Activity, and as Deputy Director, Medical Resources, Plans and Policy, in the Office of the Chief of Naval Operations. A board-certified general surgeon with fellowship training in trauma and critical care, Dr. Bono has served as a director of Humana Inc. (NYSE: HUM) since September 2020, where she is a member of the Audit Committee and the Clinical Quality Committee. She is a Senior Fellow of the Johns Hopkins University Applied Physics Laboratory, Chair of the Board of Governors of the National Military Family Association, Chair of the Council of Directors of the Henry M. Jackson Foundation for the Advancement of Military Medicine, and Vice Chair of The Leapfrog Group. Dr. Bono holds a B.S. from the University of Texas at Austin, an M.D. from Texas Tech University Health Sciences Center School of Medicine, and an M.B.A. from Washington State University. The Board believes that Dr. Bono’s experience leading large, complex health care enterprises, her clinical, public health, and government background, and her public company board and audit committee service qualify her to serve as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 Bono will be entitled to receive cash and equity compensation for her service on the Board and committees thereof in the standard amounts previously approved by the Board and as set forth in the Vaxart, Inc. Non-Employee Director Compensation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 Bono has also entered into the Company’s standard form of indemnification agreement, the form of which was filed as Exhibit 10.3 to the Company’s Current Report on Form 8-K (File No. 001-35285), filed with the U.S. Securities and Exchange Commission (the “SEC”) on February 20, 2018.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are no arrangements or understandings between Dr. Bono and any other persons, pursuant to which she was appointed as a member of the Board. There are no family relationships between Dr. Bono and any of the Company’s directors or executive officers. Dr. Bono is not a party to any current or proposed transaction with the Company for which disclosure is required under Item 404(a) of Regulation S-K.</w:t>
      </w:r>
    </w:p>
    <w:p>
      <w:pPr>
        <w:pStyle w:val="TextBody"/>
        <w:bidi w:val="0"/>
        <w:spacing w:before="0" w:after="0"/>
        <w:ind w:left="0" w:right="0" w:hanging="0"/>
        <w:jc w:val="left"/>
        <w:rPr>
          <w:caps w:val="false"/>
          <w:smallCaps w:val="false"/>
        </w:rPr>
      </w:pPr>
      <w:r>
        <w:rPr>
          <w:caps w:val="false"/>
          <w:smallCaps w:val="false"/>
        </w:rPr>
        <w:t> </w:t>
      </w:r>
    </w:p>
    <w:tbl>
      <w:tblPr>
        <w:tblW w:w="3332" w:type="dxa"/>
        <w:jc w:val="left"/>
        <w:tblInd w:w="0" w:type="dxa"/>
        <w:tblLayout w:type="fixed"/>
        <w:tblCellMar>
          <w:top w:w="28" w:type="dxa"/>
          <w:left w:w="28" w:type="dxa"/>
          <w:bottom w:w="28" w:type="dxa"/>
          <w:right w:w="28" w:type="dxa"/>
        </w:tblCellMar>
      </w:tblPr>
      <w:tblGrid>
        <w:gridCol w:w="916"/>
        <w:gridCol w:w="2416"/>
      </w:tblGrid>
      <w:tr>
        <w:trP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7.01</w:t>
            </w:r>
          </w:p>
        </w:tc>
        <w:tc>
          <w:tcPr>
            <w:tcW w:w="2416"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b/>
                <w:caps w:val="false"/>
                <w:smallCaps w:val="false"/>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19, 2026, the Company issued a press release announcing the appointment of Dr. Bono as a member of the Board.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this Item 7.01,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4052" w:type="dxa"/>
        <w:jc w:val="left"/>
        <w:tblInd w:w="0" w:type="dxa"/>
        <w:tblLayout w:type="fixed"/>
        <w:tblCellMar>
          <w:top w:w="28" w:type="dxa"/>
          <w:left w:w="28" w:type="dxa"/>
          <w:bottom w:w="28" w:type="dxa"/>
          <w:right w:w="28" w:type="dxa"/>
        </w:tblCellMar>
      </w:tblPr>
      <w:tblGrid>
        <w:gridCol w:w="916"/>
        <w:gridCol w:w="3136"/>
      </w:tblGrid>
      <w:tr>
        <w:trP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9.01</w:t>
            </w:r>
          </w:p>
        </w:tc>
        <w:tc>
          <w:tcPr>
            <w:tcW w:w="3136"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65"/>
        <w:gridCol w:w="60"/>
        <w:gridCol w:w="6515"/>
      </w:tblGrid>
      <w:tr>
        <w:trPr/>
        <w:tc>
          <w:tcPr>
            <w:tcW w:w="96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r>
      <w:tr>
        <w:trPr/>
        <w:tc>
          <w:tcPr>
            <w:tcW w:w="9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pPr>
            <w:hyperlink w:anchor="ex_1026920.htm">
              <w:r>
                <w:rPr>
                  <w:rStyle w:val="InternetLink"/>
                  <w:rFonts w:ascii="Times New Roman" w:hAnsi="Times New Roman"/>
                  <w:caps w:val="false"/>
                  <w:smallCaps w:val="false"/>
                  <w:sz w:val="20"/>
                </w:rPr>
                <w:t>Press Release, dated October 19, 2026.</w:t>
              </w:r>
            </w:hyperlink>
          </w:p>
        </w:tc>
      </w:tr>
      <w:tr>
        <w:trPr/>
        <w:tc>
          <w:tcPr>
            <w:tcW w:w="9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SIGNATURES</w:t>
      </w:r>
      <w:r>
        <w:rPr>
          <w:rFonts w:ascii="Times New Roman" w:hAnsi="Times New Roman"/>
          <w:smallCaps/>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1910"/>
        <w:gridCol w:w="60"/>
        <w:gridCol w:w="3080"/>
      </w:tblGrid>
      <w:tr>
        <w:trPr/>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19, 2026</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VAXART, INC.</w:t>
            </w:r>
          </w:p>
        </w:tc>
      </w:tr>
      <w:tr>
        <w:trPr/>
        <w:tc>
          <w:tcPr>
            <w:tcW w:w="19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pPr>
            <w:r>
              <w:rPr/>
              <w:t> </w:t>
            </w:r>
          </w:p>
        </w:tc>
      </w:tr>
      <w:tr>
        <w:trPr/>
        <w:tc>
          <w:tcPr>
            <w:tcW w:w="19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i/>
                <w:caps w:val="false"/>
                <w:smallCaps w:val="false"/>
                <w:sz w:val="20"/>
              </w:rPr>
              <w:t>Steven Lo</w:t>
            </w:r>
          </w:p>
        </w:tc>
      </w:tr>
      <w:tr>
        <w:trPr/>
        <w:tc>
          <w:tcPr>
            <w:tcW w:w="19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Lo</w:t>
            </w:r>
          </w:p>
        </w:tc>
      </w:tr>
      <w:tr>
        <w:trPr/>
        <w:tc>
          <w:tcPr>
            <w:tcW w:w="19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bookmarkStart w:id="2" w:name="ex_1026920.htm"/>
      <w:bookmarkStart w:id="3" w:name="ksex_1026920"/>
      <w:bookmarkEnd w:id="2"/>
      <w:bookmarkEnd w:id="3"/>
      <w:r>
        <w:rPr>
          <w:rFonts w:ascii="Times New Roman;Times;serif" w:hAnsi="Times New Roman;Times;serif"/>
          <w:b/>
          <w:sz w:val="20"/>
        </w:rPr>
        <w:t>Exhibit 99.1</w:t>
      </w:r>
      <w:r>
        <w:rPr>
          <w:rFonts w:ascii="Times New Roman" w:hAnsi="Times New Roman"/>
          <w:sz w:val="20"/>
        </w:rPr>
        <w:t xml:space="preserve"> </w:t>
      </w:r>
      <w:r>
        <w:br w:type="page"/>
      </w:r>
    </w:p>
    <w:p>
      <w:pPr>
        <w:pStyle w:val="TextBody"/>
        <w:bidi w:val="0"/>
        <w:spacing w:before="0" w:after="0"/>
        <w:ind w:left="0" w:right="0" w:hanging="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 IMMEDIATE RELEASE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Vaxart Appoints Retired Vice Admiral Raquel C. Bono, M.D., to Board of Directors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Board-certified surgeon and former Director of the Defense Health Agency brings extensive leadership, public health and governance experience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SOUTH SAN FRANCISCO, Calif., Oct. 19, 2026</w:t>
      </w:r>
      <w:r>
        <w:rPr>
          <w:rFonts w:ascii="Times New Roman" w:hAnsi="Times New Roman"/>
          <w:caps w:val="false"/>
          <w:smallCaps w:val="false"/>
          <w:sz w:val="20"/>
        </w:rPr>
        <w:t xml:space="preserve"> — Vaxart, Inc. (OTCQB: VXRT) (the “Company” or “Vaxart”), a clinical-stage biotechnology company developing a portfolio of oral recombinant vaccines based on its proprietary delivery platform, today announced the appointment of Raquel “Rocky” C. Bono, M.D., Vice Admiral, U.S. Navy (Ret.), to its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 Bono was appointed pursuant to the cooperation agreement Vaxart entered into with a group of its stockholders in July 2026. She will serve as Chair of the Stockholder Engagement Committee and as a member of the Nominating and Governance Committee and the Clinical and Regulatory Affairs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 Bono is a nationally recognized healthcare executive and physician leader with extensive experience across the healthcare, government and technology sectors. A board-certified trauma surgeon, Dr. Bono previously served as Director of the Defense Health Agency, where she led a $50 billion integrated global healthcare system serving 9.5 million beneficiaries. Dr. Bono currently serves as Managing Partner of NAVA Edge LLC, where she advises complex organizations navigating periods of transformation, and on the board of directors of Humana Inc. (NYSE: HUM). During the COVID-19 pandemic, she served as Director of Washington State’s Pandemic Health System Response, coordinating statewide healthcare readiness and response efforts, and subsequently as Chief Health Officer of Viking Cruises (NYSE: VIK). Dr. Bono earned her B.A. from the University of Texas at Austin, her M.D. from Texas Tech University Health Sciences Center and her M.B.A. from Washington State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We are pleased to welcome Dr. Bono to the Vaxart Board,” said W. Mark Watson, Lead Independent Director of the Board. “Her expertise at the intersection of medicine, public health and policy brings a unique perspective that will be important as we continue to advance our differentiated oral vaccine platform. Vaxart is making progress toward a series of value-inflection milestones with the potential to redefine vaccine delivery and immune responses. We look forward to working with Rocky to realize the full potential of the Vaxart platform for the benefit of all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Vaxart has an opportunity to transform the future of vaccines, and I am excited to join the Board at such a pivotal time for the Company,” said Dr. Bono. “As I’ve gotten to know my fellow directors, I have been impressed by the Board’s commitment to Vaxart and the thoughtful work underway to position the Company for success. I look forward to building on that work, engaging with Vaxart’s stockholders to hear their perspectives, and helping Vaxart achieve its long-term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Vaxart</w:t>
      </w:r>
      <w:r>
        <w:rPr>
          <w:rFonts w:ascii="Times New Roman" w:hAnsi="Times New Roman"/>
          <w:caps w:val="false"/>
          <w:smallCaps w:val="false"/>
          <w:sz w:val="20"/>
        </w:rPr>
        <w:t xml:space="preserve"> </w:t>
        <w:br/>
        <w:t>Vaxart is a clinical-stage biotechnology company developing a range of oral recombinant vaccines based on its proprietary delivery platform. Vaxart vaccines are designed to be administered using pills that can be stored and shipped without refrigeration and eliminate the risk of needle-stick injury. Vaxart believes that its proprietary pill vaccine delivery platform is suitable to deliver recombinant vaccines, positioning the company to develop oral versions of currently marketed vaccines and to design recombinant vaccines for new indications. Vaxart’s development programs currently include pill vaccines designed to protect against coronavirus, norovirus and influenza, as well as a therapeutic vaccine for human papillomavirus (HPV), Vaxart’s first immune-oncology indication. Vaxart has filed broad domestic and international patent applications covering its proprietary technology and creations for oral vaccination using adenovirus and TLR3 agonists.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Cautionary Note Regarding Forward-Looking Statements</w:t>
      </w:r>
      <w:r>
        <w:rPr>
          <w:rFonts w:ascii="Times New Roman" w:hAnsi="Times New Roman"/>
          <w:caps w:val="false"/>
          <w:smallCaps w:val="false"/>
          <w:sz w:val="20"/>
        </w:rPr>
        <w:t xml:space="preserve"> </w:t>
        <w:br/>
        <w:t>This press release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facts, included in this press release, including statements in the quotations attributed to Mr. Watson and Dr. Bono, regarding Vaxart’s strategy, prospects, plans and objectives, results from preclinical and clinical trials, commercialization agreements and licenses, and beliefs and expectations of management are forward-looking statements. These forward-looking statements may be accompanied by such words as “should,” “believe,” “could,” “potential,” “will,” “expected,” “anticipate,” “plan,” "target," "seek," "intend," "may," "predict," "project," "would," and other words and terms of similar meaning. Examples of such statements include, but are not limited to, statements relating to Vaxart’s ability to achieve anticipated value-inflection milestones; the potential of Vaxart’s oral vaccine platform to improve vaccine delivery and immune responses and to develop improved vaccines; the suitability of Vaxart’s platform to deliver recombinant vaccines and to develop oral versions of currently marketed vaccines; Vaxart’s ability to raise capital pursuant to the purchase agreement with Lincoln Park Capital Fund, LLC; Vaxart’s ability to develop and commercialize its product candidates, including its vaccine booster products; Vaxart’s expectations regarding clinical results and trial data, and the timing of receiving and reporting such clinical results and trial data; Vaxart’s expected timing for future clinical trials; Vaxart’s expectations with respect to the effectiveness of its product candidates; expectations regarding collaborations, including the Dynavax collaboration; and Vaxart’s cash runway and anticipated funding needs. These forward-looking statements are based on current expectations, estimates, forecasts, and projections about the industry and markets in which Vaxart operates as well as management’s current beliefs and assumptions. Vaxart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Vaxart makes, including uncertainties inherent in research and development, including the ability to meet anticipated clinical endpoints, commencement, and/or completion dates for clinical trials, regulatory submission dates, regulatory approval dates, and/or launch dates, as well as the possibility of unfavorable new clinical data and further analyses of existing clinical data; the risk that Vaxart may not achieve anticipated development milestones on expected timelines or at all, or that achieving such milestones may not increase stockholder value; the risk that Vaxart’s oral vaccine candidates may not demonstrate improved immune responses, room-temperature stability or other anticipated advantages relative to existing vaccines; the risk that clinical trial data are subject to differing interpretations and assessments by regulatory authorities; whether regulatory authorities will be satisfied with the design of and results from the clinical studies; decisions by regulatory authorities impacting labeling, manufacturing processes, and safety that could affect the availability or commercial potential of any product candidate, including the possibility that Vaxart’s product candidates may not be approved by the FDA or non-U.S. regulatory authorities; that, even if approved by the FDA or non-U.S. regulatory authorities, Vaxart’s product candidates may not achieve broad market acceptance; that a Vaxart collaborator may not attain development and commercial milestones; that Vaxart or its partners may experience manufacturing issues and delays due to events within, or outside of, Vaxart’s or its partners’ control; difficulties in production, particularly in scaling up initial production, including difficulties with production costs and yields, quality control, including stability of the product candidate and quality assurance testing, shortages of qualified personnel or key raw materials, and compliance with strictly enforced federal, state, and foreign regulations; that Vaxart may not be able to obtain, maintain, and enforce necessary patent and other intellectual property protection; that Vaxart’s capital resources may be inadequate; Vaxart’s ability to resolve pending legal matters; Vaxart’s ability to obtain sufficient capital to fund its operations on terms acceptable to Vaxart, if at all; the impact of government healthcare proposals and policies; competitive factors; and other risks and uncertainties described in the “Risk Factors” sections of Vaxart’s most recent Annual Report on Form 10-K and subsequent Quarterly Reports on Form 10-Q filed with the U.S. Securities and Exchange Commission, which are available on the SEC’s website at </w:t>
      </w:r>
      <w:r>
        <w:rPr>
          <w:rFonts w:ascii="Times New Roman" w:hAnsi="Times New Roman"/>
          <w:caps w:val="false"/>
          <w:smallCaps w:val="false"/>
          <w:sz w:val="20"/>
          <w:u w:val="single"/>
        </w:rPr>
        <w:t>www.sec.gov</w:t>
      </w:r>
      <w:r>
        <w:rPr>
          <w:rFonts w:ascii="Times New Roman" w:hAnsi="Times New Roman"/>
          <w:caps w:val="false"/>
          <w:smallCaps w:val="false"/>
          <w:sz w:val="20"/>
        </w:rPr>
        <w:t>. The forward-looking statements in this press release speak only as of the date of this press release. Vaxart undertakes no obligation to publicly update or revise any forward-looking statements, whether as a result of new information, future events, or otherwise,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Contact</w:t>
      </w:r>
      <w:r>
        <w:rPr>
          <w:rFonts w:ascii="Times New Roman" w:hAnsi="Times New Roman"/>
          <w:caps w:val="false"/>
          <w:smallCaps w:val="false"/>
          <w:sz w:val="20"/>
        </w:rPr>
        <w:t xml:space="preserve"> </w:t>
        <w:br/>
      </w:r>
      <w:r>
        <w:rPr>
          <w:rFonts w:ascii="Times New Roman" w:hAnsi="Times New Roman"/>
          <w:b/>
          <w:caps w:val="false"/>
          <w:smallCaps w:val="false"/>
          <w:sz w:val="20"/>
        </w:rPr>
        <w:t>Vaxart Media and Investor Relations:</w:t>
      </w:r>
      <w:r>
        <w:rPr>
          <w:rFonts w:ascii="Times New Roman" w:hAnsi="Times New Roman"/>
          <w:caps w:val="false"/>
          <w:smallCaps w:val="false"/>
          <w:sz w:val="20"/>
        </w:rPr>
        <w:t xml:space="preserve"> </w:t>
        <w:br/>
        <w:t>FINN Partners</w:t>
        <w:br/>
      </w:r>
      <w:r>
        <w:rPr>
          <w:rFonts w:ascii="Times New Roman" w:hAnsi="Times New Roman"/>
          <w:caps w:val="false"/>
          <w:smallCaps w:val="false"/>
          <w:sz w:val="20"/>
          <w:u w:val="single"/>
        </w:rPr>
        <w:t>IR@vaxart.com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2499</Words>
  <Characters>14352</Characters>
  <CharactersWithSpaces>16888</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