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vxrt20260717_8k.htm"/>
      <w:bookmarkStart w:id="1" w:name="ksvxrt20260717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4"/>
        </w:rPr>
        <w:t>FORM 8-K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July 16, 2026 </w:t>
      </w:r>
    </w:p>
    <w:p>
      <w:pPr>
        <w:pStyle w:val="TextBody"/>
        <w:bidi w:val="0"/>
        <w:spacing w:before="0" w:after="0"/>
        <w:ind w:left="0" w:right="0" w:hanging="0"/>
        <w:jc w:val="left"/>
        <w:rPr>
          <w:caps w:val="false"/>
          <w:smallCaps w:val="false"/>
        </w:rPr>
      </w:pPr>
      <w:r>
        <w:rPr>
          <w:caps w:val="false"/>
          <w:smallCaps w:val="false"/>
        </w:rPr>
        <w:t> </w:t>
      </w:r>
    </w:p>
    <w:tbl>
      <w:tblPr>
        <w:tblW w:w="4145" w:type="dxa"/>
        <w:jc w:val="left"/>
        <w:tblInd w:w="0" w:type="dxa"/>
        <w:tblLayout w:type="fixed"/>
        <w:tblCellMar>
          <w:top w:w="0" w:type="dxa"/>
          <w:left w:w="0" w:type="dxa"/>
          <w:bottom w:w="0" w:type="dxa"/>
          <w:right w:w="0" w:type="dxa"/>
        </w:tblCellMar>
      </w:tblPr>
      <w:tblGrid>
        <w:gridCol w:w="4145"/>
      </w:tblGrid>
      <w:tr>
        <w:trPr/>
        <w:tc>
          <w:tcPr>
            <w:tcW w:w="4145"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Vaxart, Inc.</w:t>
            </w:r>
          </w:p>
        </w:tc>
      </w:tr>
      <w:tr>
        <w:trPr/>
        <w:tc>
          <w:tcPr>
            <w:tcW w:w="41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8670" w:type="dxa"/>
        <w:jc w:val="left"/>
        <w:tblInd w:w="0" w:type="dxa"/>
        <w:tblLayout w:type="fixed"/>
        <w:tblCellMar>
          <w:top w:w="0" w:type="dxa"/>
          <w:left w:w="0" w:type="dxa"/>
          <w:bottom w:w="28" w:type="dxa"/>
          <w:right w:w="0" w:type="dxa"/>
        </w:tblCellMar>
      </w:tblPr>
      <w:tblGrid>
        <w:gridCol w:w="3575"/>
        <w:gridCol w:w="60"/>
        <w:gridCol w:w="2210"/>
        <w:gridCol w:w="60"/>
        <w:gridCol w:w="2765"/>
      </w:tblGrid>
      <w:tr>
        <w:trPr/>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001-35285</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59-1212264</w:t>
            </w:r>
          </w:p>
        </w:tc>
      </w:tr>
      <w:tr>
        <w:trPr/>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r>
        <w:trPr/>
        <w:tc>
          <w:tcPr>
            <w:tcW w:w="35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tcMar>
              <w:bottom w:w="0" w:type="dxa"/>
            </w:tcMar>
            <w:vAlign w:val="center"/>
          </w:tcPr>
          <w:p>
            <w:pPr>
              <w:pStyle w:val="TableContents"/>
              <w:bidi w:val="0"/>
              <w:spacing w:before="0" w:after="0"/>
              <w:ind w:left="0" w:right="0" w:hanging="0"/>
              <w:jc w:val="left"/>
              <w:rPr/>
            </w:pPr>
            <w:r>
              <w:rPr/>
              <w:t> </w:t>
            </w:r>
          </w:p>
        </w:tc>
      </w:tr>
      <w:tr>
        <w:trPr/>
        <w:tc>
          <w:tcPr>
            <w:tcW w:w="5845" w:type="dxa"/>
            <w:gridSpan w:val="3"/>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310 Utah Avenue, Suite 150, South San Francisco, California</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94080</w:t>
            </w:r>
          </w:p>
        </w:tc>
      </w:tr>
      <w:tr>
        <w:trPr/>
        <w:tc>
          <w:tcPr>
            <w:tcW w:w="5845" w:type="dxa"/>
            <w:gridSpan w:val="3"/>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rPr>
        <w:t>(650) 550-3500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45" w:type="dxa"/>
        <w:jc w:val="left"/>
        <w:tblInd w:w="0" w:type="dxa"/>
        <w:tblLayout w:type="fixed"/>
        <w:tblCellMar>
          <w:top w:w="0" w:type="dxa"/>
          <w:left w:w="0" w:type="dxa"/>
          <w:bottom w:w="0" w:type="dxa"/>
          <w:right w:w="0" w:type="dxa"/>
        </w:tblCellMar>
      </w:tblPr>
      <w:tblGrid>
        <w:gridCol w:w="60"/>
        <w:gridCol w:w="4925"/>
        <w:gridCol w:w="60"/>
      </w:tblGrid>
      <w:tr>
        <w:trPr/>
        <w:tc>
          <w:tcPr>
            <w:tcW w:w="60" w:type="dxa"/>
            <w:tcBorders/>
            <w:vAlign w:val="center"/>
          </w:tcPr>
          <w:p>
            <w:pPr>
              <w:pStyle w:val="TableContents"/>
              <w:bidi w:val="0"/>
              <w:spacing w:before="0" w:after="0"/>
              <w:ind w:left="0" w:right="0" w:hanging="0"/>
              <w:jc w:val="left"/>
              <w:rPr/>
            </w:pPr>
            <w:r>
              <w:rPr/>
              <w:t> </w:t>
            </w:r>
          </w:p>
        </w:tc>
        <w:tc>
          <w:tcPr>
            <w:tcW w:w="49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49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480" w:type="dxa"/>
        <w:jc w:val="left"/>
        <w:tblInd w:w="0" w:type="dxa"/>
        <w:tblLayout w:type="fixed"/>
        <w:tblCellMar>
          <w:top w:w="0" w:type="dxa"/>
          <w:left w:w="0" w:type="dxa"/>
          <w:bottom w:w="28" w:type="dxa"/>
          <w:right w:w="0" w:type="dxa"/>
        </w:tblCellMar>
      </w:tblPr>
      <w:tblGrid>
        <w:gridCol w:w="1475"/>
        <w:gridCol w:w="60"/>
        <w:gridCol w:w="1310"/>
        <w:gridCol w:w="60"/>
        <w:gridCol w:w="3575"/>
      </w:tblGrid>
      <w:tr>
        <w:trPr/>
        <w:tc>
          <w:tcPr>
            <w:tcW w:w="14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1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14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The registrant’s common stock is quoted on the OTCQX® Best Market under the symbol “VXRT.”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5230" w:type="dxa"/>
        <w:jc w:val="left"/>
        <w:tblInd w:w="0" w:type="dxa"/>
        <w:tblLayout w:type="fixed"/>
        <w:tblCellMar>
          <w:top w:w="0" w:type="dxa"/>
          <w:left w:w="0" w:type="dxa"/>
          <w:bottom w:w="0" w:type="dxa"/>
          <w:right w:w="0" w:type="dxa"/>
        </w:tblCellMar>
      </w:tblPr>
      <w:tblGrid>
        <w:gridCol w:w="815"/>
        <w:gridCol w:w="4415"/>
      </w:tblGrid>
      <w:tr>
        <w:trPr/>
        <w:tc>
          <w:tcPr>
            <w:tcW w:w="8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5.07</w:t>
            </w:r>
          </w:p>
        </w:tc>
        <w:tc>
          <w:tcPr>
            <w:tcW w:w="44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Submission of Matters to a Vote of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16, 2026, Vaxart, Inc. (the “Company”) held the Company’s 2026 annual meeting of stockholders (the “Annual Meeting”). Proxies had been submitted by stockholders representing approximately 45.7% of the shares of the Company’s common stock outstanding and entitled to vote, which constituted a quorum. At the Annual Meeting, the Company’s stockholders voted on three Proposals, each of which is described in more detail in the proxy statement for the Annual Meeting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is a brief description of each matter voted upon and the results, including the number of votes cast for and against each matter and, if applicable, the number of abstentions and broker non-votes with respect to each matter. Proxies for the Annual Meeting were solicited pursuant to Section 14(a) 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Proposal 1</w:t>
      </w:r>
      <w:r>
        <w:rPr>
          <w:rFonts w:ascii="Times New Roman" w:hAnsi="Times New Roman"/>
          <w:caps w:val="false"/>
          <w:smallCaps w:val="false"/>
          <w:sz w:val="20"/>
        </w:rPr>
        <w:t>. Stockholders elected the six nominees for directors to serve until the Company’s 2027 annual meeting of stockholders or until their successors are duly elected and qualified. The voting results were as follows:</w:t>
      </w:r>
    </w:p>
    <w:p>
      <w:pPr>
        <w:pStyle w:val="TextBody"/>
        <w:bidi w:val="0"/>
        <w:spacing w:before="0" w:after="0"/>
        <w:ind w:left="0" w:right="0" w:hanging="0"/>
        <w:jc w:val="left"/>
        <w:rPr>
          <w:caps w:val="false"/>
          <w:smallCaps w:val="false"/>
        </w:rPr>
      </w:pPr>
      <w:r>
        <w:rPr>
          <w:caps w:val="false"/>
          <w:smallCaps w:val="false"/>
        </w:rPr>
        <w:t> </w:t>
      </w:r>
    </w:p>
    <w:tbl>
      <w:tblPr>
        <w:tblW w:w="6680" w:type="dxa"/>
        <w:jc w:val="left"/>
        <w:tblInd w:w="0" w:type="dxa"/>
        <w:tblLayout w:type="fixed"/>
        <w:tblCellMar>
          <w:top w:w="0" w:type="dxa"/>
          <w:left w:w="0" w:type="dxa"/>
          <w:bottom w:w="28" w:type="dxa"/>
          <w:right w:w="0" w:type="dxa"/>
        </w:tblCellMar>
      </w:tblPr>
      <w:tblGrid>
        <w:gridCol w:w="2690"/>
        <w:gridCol w:w="60"/>
        <w:gridCol w:w="950"/>
        <w:gridCol w:w="60"/>
        <w:gridCol w:w="1310"/>
        <w:gridCol w:w="60"/>
        <w:gridCol w:w="1550"/>
      </w:tblGrid>
      <w:tr>
        <w:trPr/>
        <w:tc>
          <w:tcPr>
            <w:tcW w:w="269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Director Name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Votes For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1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Votes Withheld</w:t>
            </w:r>
          </w:p>
        </w:tc>
        <w:tc>
          <w:tcPr>
            <w:tcW w:w="60" w:type="dxa"/>
            <w:tcBorders>
              <w:bottom w:val="single" w:sz="2" w:space="0" w:color="000000"/>
            </w:tcBorders>
            <w:vAlign w:val="center"/>
          </w:tcPr>
          <w:p>
            <w:pPr>
              <w:pStyle w:val="TableContents"/>
              <w:bidi w:val="0"/>
              <w:spacing w:before="0" w:after="0"/>
              <w:ind w:left="0" w:right="0" w:hanging="0"/>
              <w:jc w:val="left"/>
              <w:rPr/>
            </w:pPr>
            <w:r>
              <w:rPr/>
              <w:t> </w:t>
            </w:r>
          </w:p>
        </w:tc>
        <w:tc>
          <w:tcPr>
            <w:tcW w:w="155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Broker Non-Votes</w:t>
            </w:r>
          </w:p>
        </w:tc>
      </w:tr>
      <w:tr>
        <w:trPr/>
        <w:tc>
          <w:tcPr>
            <w:tcW w:w="26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James B. Breitmeyer, M.D., Ph.D.</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95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86,985,391</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3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13,060,491</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55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10,585,218</w:t>
            </w:r>
          </w:p>
        </w:tc>
      </w:tr>
      <w:tr>
        <w:trPr/>
        <w:tc>
          <w:tcPr>
            <w:tcW w:w="269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Kevin P. Finney</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95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80,409,424</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3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19,636,458</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55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10,585,218</w:t>
            </w:r>
          </w:p>
        </w:tc>
      </w:tr>
      <w:tr>
        <w:trPr/>
        <w:tc>
          <w:tcPr>
            <w:tcW w:w="26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Elaine J. Heron, Ph.D.</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95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51,372,172</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3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48,672,711</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55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10,586,217</w:t>
            </w:r>
          </w:p>
        </w:tc>
      </w:tr>
      <w:tr>
        <w:trPr/>
        <w:tc>
          <w:tcPr>
            <w:tcW w:w="269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Lo</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95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50,272,817</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3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49,772,065</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55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10,586,218</w:t>
            </w:r>
          </w:p>
        </w:tc>
      </w:tr>
      <w:tr>
        <w:trPr/>
        <w:tc>
          <w:tcPr>
            <w:tcW w:w="269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 Mark Watson, C.P.A.</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95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77,497,037</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31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22,548,845</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55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10,585,218</w:t>
            </w:r>
          </w:p>
        </w:tc>
      </w:tr>
      <w:tr>
        <w:trPr/>
        <w:tc>
          <w:tcPr>
            <w:tcW w:w="269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David Wheadon, M.D.</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95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51,931,124</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31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48,113,758</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55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10,586,218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Proposal 2</w:t>
      </w:r>
      <w:r>
        <w:rPr>
          <w:rFonts w:ascii="Times New Roman" w:hAnsi="Times New Roman"/>
          <w:caps w:val="false"/>
          <w:smallCaps w:val="false"/>
          <w:sz w:val="20"/>
        </w:rPr>
        <w:t>. Stockholders ratified the selection by the Audit Committee of WithumSmith+Brown, PC as the Company’s independent registered public accounting firm for the year ending December 31, 2026. The voting results were as follows:</w:t>
      </w:r>
    </w:p>
    <w:p>
      <w:pPr>
        <w:pStyle w:val="TextBody"/>
        <w:bidi w:val="0"/>
        <w:spacing w:before="0" w:after="0"/>
        <w:ind w:left="0" w:right="0" w:hanging="0"/>
        <w:jc w:val="left"/>
        <w:rPr>
          <w:caps w:val="false"/>
          <w:smallCaps w:val="false"/>
        </w:rPr>
      </w:pPr>
      <w:r>
        <w:rPr>
          <w:caps w:val="false"/>
          <w:smallCaps w:val="false"/>
        </w:rPr>
        <w:t> </w:t>
      </w:r>
    </w:p>
    <w:tbl>
      <w:tblPr>
        <w:tblW w:w="4850" w:type="dxa"/>
        <w:jc w:val="left"/>
        <w:tblInd w:w="0" w:type="dxa"/>
        <w:tblLayout w:type="fixed"/>
        <w:tblCellMar>
          <w:top w:w="0" w:type="dxa"/>
          <w:left w:w="0" w:type="dxa"/>
          <w:bottom w:w="28" w:type="dxa"/>
          <w:right w:w="0" w:type="dxa"/>
        </w:tblCellMar>
      </w:tblPr>
      <w:tblGrid>
        <w:gridCol w:w="950"/>
        <w:gridCol w:w="60"/>
        <w:gridCol w:w="1175"/>
        <w:gridCol w:w="60"/>
        <w:gridCol w:w="995"/>
        <w:gridCol w:w="60"/>
        <w:gridCol w:w="1550"/>
      </w:tblGrid>
      <w:tr>
        <w:trPr/>
        <w:tc>
          <w:tcPr>
            <w:tcW w:w="95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Votes For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7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Votes Against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Abstentions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5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Broker Non-Votes</w:t>
            </w:r>
          </w:p>
        </w:tc>
      </w:tr>
      <w:tr>
        <w:trPr/>
        <w:tc>
          <w:tcPr>
            <w:tcW w:w="95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80,448,931</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19,724,442</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9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10,457,727</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55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Proposal 3</w:t>
      </w:r>
      <w:r>
        <w:rPr>
          <w:rFonts w:ascii="Times New Roman" w:hAnsi="Times New Roman"/>
          <w:caps w:val="false"/>
          <w:smallCaps w:val="false"/>
          <w:sz w:val="20"/>
        </w:rPr>
        <w:t>. Stockholders did not approve, on a non-binding, advisory basis, the compensation of the Company’s named executive officers as disclosed in the Proxy Statement. The voting results were as follows:</w:t>
      </w:r>
    </w:p>
    <w:p>
      <w:pPr>
        <w:pStyle w:val="TextBody"/>
        <w:bidi w:val="0"/>
        <w:spacing w:before="0" w:after="0"/>
        <w:ind w:left="0" w:right="0" w:hanging="0"/>
        <w:jc w:val="left"/>
        <w:rPr>
          <w:caps w:val="false"/>
          <w:smallCaps w:val="false"/>
        </w:rPr>
      </w:pPr>
      <w:r>
        <w:rPr>
          <w:caps w:val="false"/>
          <w:smallCaps w:val="false"/>
        </w:rPr>
        <w:t> </w:t>
      </w:r>
    </w:p>
    <w:tbl>
      <w:tblPr>
        <w:tblW w:w="4850" w:type="dxa"/>
        <w:jc w:val="left"/>
        <w:tblInd w:w="0" w:type="dxa"/>
        <w:tblLayout w:type="fixed"/>
        <w:tblCellMar>
          <w:top w:w="0" w:type="dxa"/>
          <w:left w:w="0" w:type="dxa"/>
          <w:bottom w:w="28" w:type="dxa"/>
          <w:right w:w="0" w:type="dxa"/>
        </w:tblCellMar>
      </w:tblPr>
      <w:tblGrid>
        <w:gridCol w:w="950"/>
        <w:gridCol w:w="60"/>
        <w:gridCol w:w="1175"/>
        <w:gridCol w:w="60"/>
        <w:gridCol w:w="995"/>
        <w:gridCol w:w="60"/>
        <w:gridCol w:w="1550"/>
      </w:tblGrid>
      <w:tr>
        <w:trPr/>
        <w:tc>
          <w:tcPr>
            <w:tcW w:w="95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Votes For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17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Votes Against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Abstentions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5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Broker Non-Votes</w:t>
            </w:r>
          </w:p>
        </w:tc>
      </w:tr>
      <w:tr>
        <w:trPr/>
        <w:tc>
          <w:tcPr>
            <w:tcW w:w="95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46,024,068</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7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51,842,781</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9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2,300,962</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55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10,463,289</w:t>
            </w:r>
          </w:p>
        </w:tc>
      </w:tr>
    </w:tbl>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815"/>
        <w:gridCol w:w="2225"/>
      </w:tblGrid>
      <w:tr>
        <w:trPr/>
        <w:tc>
          <w:tcPr>
            <w:tcW w:w="8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7.01</w:t>
            </w:r>
          </w:p>
        </w:tc>
        <w:tc>
          <w:tcPr>
            <w:tcW w:w="22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17, 2026, the Company issued a press release announcing the voting results of the Annual Meeting. A copy of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in this Item 7.01, and Exhibit 99.1 attached hereto, is being furnished and shall not be deemed “filed” for the purposes of Section 18 of the Exchange Act, or otherwise subject to the liabilities of that section, nor shall it be deemed incorporated by reference in any filing under the Securities Act of 1933, as amended,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815"/>
        <w:gridCol w:w="2945"/>
      </w:tblGrid>
      <w:tr>
        <w:trPr/>
        <w:tc>
          <w:tcPr>
            <w:tcW w:w="8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w:t>
            </w:r>
          </w:p>
        </w:tc>
        <w:tc>
          <w:tcPr>
            <w:tcW w:w="29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7555" w:type="dxa"/>
        <w:jc w:val="left"/>
        <w:tblInd w:w="0" w:type="dxa"/>
        <w:tblLayout w:type="fixed"/>
        <w:tblCellMar>
          <w:top w:w="0" w:type="dxa"/>
          <w:left w:w="0" w:type="dxa"/>
          <w:bottom w:w="28" w:type="dxa"/>
          <w:right w:w="0" w:type="dxa"/>
        </w:tblCellMar>
      </w:tblPr>
      <w:tblGrid>
        <w:gridCol w:w="980"/>
        <w:gridCol w:w="60"/>
        <w:gridCol w:w="6515"/>
      </w:tblGrid>
      <w:tr>
        <w:trPr/>
        <w:tc>
          <w:tcPr>
            <w:tcW w:w="9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tcMar>
              <w:bottom w:w="0" w:type="dxa"/>
            </w:tcMar>
            <w:vAlign w:val="center"/>
          </w:tcPr>
          <w:p>
            <w:pPr>
              <w:pStyle w:val="TableContents"/>
              <w:bidi w:val="0"/>
              <w:spacing w:before="0" w:after="0"/>
              <w:ind w:left="0" w:right="0" w:hanging="0"/>
              <w:jc w:val="left"/>
              <w:rPr/>
            </w:pPr>
            <w:hyperlink w:anchor="ex_989402.htm">
              <w:r>
                <w:rPr>
                  <w:rStyle w:val="InternetLink"/>
                  <w:rFonts w:ascii="Times New Roman" w:hAnsi="Times New Roman"/>
                  <w:caps w:val="false"/>
                  <w:smallCaps w:val="false"/>
                  <w:sz w:val="20"/>
                </w:rPr>
                <w:t>Press Release, dated July 17, 2026.</w:t>
              </w:r>
            </w:hyperlink>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smallCaps/>
          <w:sz w:val="20"/>
        </w:rPr>
      </w:pPr>
      <w:r>
        <w:rPr>
          <w:rFonts w:ascii="Times New Roman" w:hAnsi="Times New Roman"/>
          <w:b/>
          <w:smallCaps/>
          <w:sz w:val="20"/>
        </w:rPr>
        <w:t>SIGNATURES</w:t>
      </w:r>
      <w:r>
        <w:rPr>
          <w:rFonts w:ascii="Times New Roman" w:hAnsi="Times New Roman"/>
          <w:smallCaps/>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1610"/>
        <w:gridCol w:w="320"/>
        <w:gridCol w:w="3080"/>
      </w:tblGrid>
      <w:tr>
        <w:trPr/>
        <w:tc>
          <w:tcPr>
            <w:tcW w:w="1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17, 2026</w:t>
            </w:r>
          </w:p>
        </w:tc>
        <w:tc>
          <w:tcPr>
            <w:tcW w:w="32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VAXART, INC.</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pPr>
            <w:r>
              <w:rPr/>
              <w:t> </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i/>
                <w:caps w:val="false"/>
                <w:smallCaps w:val="false"/>
                <w:sz w:val="20"/>
              </w:rPr>
              <w:t>Steven Lo</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Lo</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2" w:name="ex_989402.htm"/>
      <w:bookmarkStart w:id="3" w:name="ksex_989402"/>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Vaxart Announces Results of Annual Meeting of Stockholders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SOUTH SAN FRANCISCO, Calif., July 17, 2026 -- Vaxart, Inc. (Nasdaq: VXRT) (“Vaxart” or the “Company”), a clinical-stage biotechnology company developing a range of oral recombinant pill vaccines based on its proprietary delivery platform, yesterday held its Annual Meeting of Stockholders (the “Annual Meeting”) in a virtual-only format. Results from the Annual Meeting indicate that two proposals were approved and one proposal was rejected by Vaxart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Stockholders voted in favor of the following proposals in alignment with the Board of Directors’ recommendations: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60"/>
        <w:gridCol w:w="170"/>
        <w:gridCol w:w="728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Election of six director nominees to serve until the 2027 Annual Meeting of Stockholders</w:t>
            </w:r>
          </w:p>
        </w:tc>
      </w:tr>
    </w:tbl>
    <w:tbl>
      <w:tblPr>
        <w:tblW w:w="8335" w:type="dxa"/>
        <w:jc w:val="left"/>
        <w:tblInd w:w="0" w:type="dxa"/>
        <w:tblLayout w:type="fixed"/>
        <w:tblCellMar>
          <w:top w:w="0" w:type="dxa"/>
          <w:left w:w="0" w:type="dxa"/>
          <w:bottom w:w="0" w:type="dxa"/>
          <w:right w:w="0" w:type="dxa"/>
        </w:tblCellMar>
      </w:tblPr>
      <w:tblGrid>
        <w:gridCol w:w="60"/>
        <w:gridCol w:w="170"/>
        <w:gridCol w:w="810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Ratification of WithumSmith+Brown, PC as Vaxart’s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Stockholders did not approve, on a non-binding, advisory basis, the compensation of the Company’s named executive officers as disclosed in the proxy statement for the Annual Meeting, also known as “say-on-pay”.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final results will be reported on a Current Report on Form 8-K to be filed by Vaxart with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About Vaxart</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Vaxart is a clinical-stage biotechnology company developing a range of oral recombinant vaccines based on its proprietary delivery platform. Vaxart vaccines are designed to be administered using pills that can be stored and shipped without refrigeration and eliminate the risk of needle-stick injury. Vaxart believes that its proprietary pill vaccine delivery platform is suitable to deliver recombinant vaccines, positioning the company to develop oral versions of currently marketed vaccines and to design recombinant vaccines for new indications. Vaxart’s development programs currently include pill vaccines designed to protect against coronavirus, norovirus and influenza, as well as a therapeutic vaccine for human papillomavirus (HPV), Vaxart’s first immune-oncology indication. Vaxart has filed broad domestic and international patent applications covering its proprietary technology and creations for oral vaccination using adenovirus and TLR3 agonists.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Note Regarding Forward-Looking Statements</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contains forward-looking statements within the meaning of the Private Securities Litigation Reform Act of 1995 that involve substantial risks and uncertainties. All statements, other than statements of historical facts, included in this press release regarding Vaxart's strategy, prospects, plans and objectives, results from preclinical and clinical trials and the timing of such results, and beliefs and expectations of management, including statements regarding Vaxart’s Phase 2b clinical trial of its oral pill COVID-19 vaccine candidate, the 400-participant sentinel safety cohort, the approximately 5,000-participant main cohort, further analyses of trial data, anticipated timing of complete study data, and funding under Project NextGen and the RRPV Consortium, are forward-looking statements. These forward-looking statements may be accompanied by such words as "should," "believe," "could," "potential," "will," "expected," “anticipate,” "plan," “intend,” “may,” “estimate,” “approximately,” “designed,” “powered,” “subject to,” and other words and terms of similar meaning. Examples of such statements include, but are not limited to, statements relating to Vaxart's ability to develop its product candidates and oral pill vaccine platform; Vaxart's expectations regarding clinical results and trial data, and the timing of receiving and reporting such clinical results and trial data, including further analyses of the sentinel safety cohort and complete study data anticipated in 2027; Vaxart’s expectations regarding the design, powering, conduct, completion and analysis of its Phase 2b COVID-19 trial and main cohort; and Vaxart’s expectations with respect to the safety, tolerability, efficacy, relative efficacy, immunogenicity and potential regulatory significance of its product candidates, as well as the availability, permitted uses and sufficiency of funding under the Project NextGen/BARDA/RRPV award. These forward-looking statements are based on Vaxart’s current expectations and assumptions as of the date of this press release. Vaxart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Vaxart makes, including uncertainties inherent in research and development, including the ability to meet anticipated clinical endpoints, retain participants, collect follow-up data, generate sufficient evaluable cases and events, and complete, unblind, analyze and report data from the Phase 2b trial, including the main cohort, in the expected timeframes, as well as the possibility of unfavorable new clinical data and further analyses of existing clinical data, including analyses that may differ from or not confirm the topline data from the sentinel safety cohort or may not support conclusions regarding safety, tolerability, immunogenicity, efficacy or relative efficacy; the risk that clinical trial data, including data from the sentinel safety cohort and main cohort, are subject to differing interpretations and assessments by Vaxart, investigators, independent safety reviewers, funding agencies, regulatory authorities and other third parties; whether regulatory authorities will be satisfied with the design of and results from the clinical studies, including the study’s comparator, endpoints, statistical assumptions, strain selection, safety database and efficacy analyses; decisions by regulatory authorities impacting labeling, manufacturing processes, and safety that could affect the availability or commercial potential of any product candidate, including the possibility that Vaxart's product candidates may not be approved, authorized or licensed by the FDA or non-U.S. regulatory authorities; and that results from the Phase 2b trial may not be sufficient to support regulatory submissions, regulatory interactions, approval, authorization, licensure or commercialization of Vaxart’s oral pill COVID-19 vaccine candidate; risks related to government funding for the Phase 2b trial, including whether amounts under the Project NextGen/BARDA/RRPV award will be available, released, reimbursed or sufficient in the amounts or at the times expected, and whether the award may be modified, reduced, delayed, suspended or terminated or subject to conditions, audits or other compliance requirements; that Vaxart or its partners may experience manufacturing, supply, storage, shipment, stability, quality control or quality assurance issues and delays due to events within, or outside of, Vaxart's or its partners' control; difficulties in production, particularly in scaling up initial production, including difficulties with production costs and yields, quality control, including stability of the product candidate and quality assurance testing, shortages of qualified personnel or key raw materials, and compliance with strictly enforced federal, state, and foreign regulations; Vaxart's ability to obtain sufficient capital to fund its operations on terms acceptable to Vaxart, if at all, including expenses not covered by government funding; the impact of changes in government public-health, procurement and funding priorities; changes in COVID-19 incidence, circulating variants, vaccination recommendations and market demand; and competition from approved and investigational COVID-19 vaccines and other vaccine technologies; and other risks described in the “Risk Factors” sections of Vaxart’s most recent Annual Report on Form 10-K, Quarterly Reports on Form 10-Q and other filings filed with or furnished to the SEC. Vaxart does not assume any obligation to update any forward-looking statements,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Contact</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Vaxart</w:t>
      </w:r>
      <w:r>
        <w:rPr>
          <w:rFonts w:ascii="Times New Roman" w:hAnsi="Times New Roman"/>
          <w:caps w:val="false"/>
          <w:smallCaps w:val="false"/>
          <w:sz w:val="20"/>
        </w:rPr>
        <w:t> </w:t>
      </w:r>
      <w:r>
        <w:rPr>
          <w:rFonts w:ascii="Times New Roman" w:hAnsi="Times New Roman"/>
          <w:b/>
          <w:caps w:val="false"/>
          <w:smallCaps w:val="false"/>
          <w:sz w:val="20"/>
        </w:rPr>
        <w:t>Media and Investor Relations</w:t>
      </w:r>
      <w:r>
        <w:rPr>
          <w:rFonts w:ascii="Times New Roman" w:hAnsi="Times New Roman"/>
          <w:caps w:val="false"/>
          <w:smallCaps w:val="false"/>
          <w:sz w:val="20"/>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FINN Partners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IR@vaxart.com</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1964</Words>
  <Characters>11708</Characters>
  <CharactersWithSpaces>13680</CharactersWithSpaces>
  <Paragraphs>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