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Finney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VAXART,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 UTAH AVENUE,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Vaxart, Inc.</w:t>
              </w:r>
            </w:hyperlink>
            <w:r>
              <w:rPr/>
              <w:t xml:space="preserve"> [ </w:t>
            </w:r>
            <w:r>
              <w:rPr>
                <w:rFonts w:ascii="Times;serif" w:hAnsi="Times;serif"/>
                <w:color w:val="0000FF"/>
                <w:sz w:val="24"/>
                <w:shd w:fill="FFFFFF" w:val="clear"/>
              </w:rPr>
              <w:t>VXRT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244,171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0.5149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shares upon vesting of restricted stock units. The shares underlying the award shall vest on the earlier of the date immediately prior of the 2027 annual meeting of stockholders of the Issuer and July 16, 2027, the first anniversary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on the earlier of the date immediately prior of the 2027 annual meeting of stockholders of the Issuer and July 16, 2027, the first anniversary of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Berg,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3381" TargetMode="External"/><Relationship Id="rId5" Type="http://schemas.openxmlformats.org/officeDocument/2006/relationships/hyperlink" Target="http://www.sec.gov/cgi-bin/browse-edgar?action=getcompany&amp;CIK=0000072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3547</Characters>
  <CharactersWithSpaces>4134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