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vxrt20260914_8k.htm"/>
      <w:bookmarkStart w:id="1" w:name="ksvxrt20260914_8k"/>
      <w:bookmarkEnd w:id="0"/>
      <w:bookmarkEnd w:id="1"/>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September 3, 2026 </w:t>
      </w:r>
    </w:p>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0" w:type="dxa"/>
          <w:right w:w="0" w:type="dxa"/>
        </w:tblCellMar>
      </w:tblPr>
      <w:tblGrid>
        <w:gridCol w:w="4145"/>
      </w:tblGrid>
      <w:tr>
        <w:trPr/>
        <w:tc>
          <w:tcPr>
            <w:tcW w:w="4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w:t>
            </w:r>
          </w:p>
        </w:tc>
      </w:tr>
      <w:tr>
        <w:trPr/>
        <w:tc>
          <w:tcPr>
            <w:tcW w:w="41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3575"/>
        <w:gridCol w:w="60"/>
        <w:gridCol w:w="2210"/>
        <w:gridCol w:w="60"/>
        <w:gridCol w:w="276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001-35285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59-1212264</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35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left"/>
              <w:rPr/>
            </w:pPr>
            <w:r>
              <w:rPr/>
              <w:t> </w:t>
            </w:r>
          </w:p>
        </w:tc>
      </w:tr>
      <w:tr>
        <w:trPr/>
        <w:tc>
          <w:tcPr>
            <w:tcW w:w="5845" w:type="dxa"/>
            <w:gridSpan w:val="3"/>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310 Utah Avenue, Suite 150, South San Francisco, California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94080</w:t>
            </w:r>
          </w:p>
        </w:tc>
      </w:tr>
      <w:tr>
        <w:trPr/>
        <w:tc>
          <w:tcPr>
            <w:tcW w:w="5845" w:type="dxa"/>
            <w:gridSpan w:val="3"/>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(650) 550-3500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60"/>
        <w:gridCol w:w="4925"/>
        <w:gridCol w:w="60"/>
      </w:tblGrid>
      <w:tr>
        <w:trPr/>
        <w:tc>
          <w:tcPr>
            <w:tcW w:w="60" w:type="dxa"/>
            <w:tcBorders/>
            <w:vAlign w:val="center"/>
          </w:tcPr>
          <w:p>
            <w:pPr>
              <w:pStyle w:val="TableContents"/>
              <w:bidi w:val="0"/>
              <w:spacing w:before="0" w:after="0"/>
              <w:ind w:left="0" w:right="0" w:hanging="0"/>
              <w:jc w:val="left"/>
              <w:rPr/>
            </w:pPr>
            <w:r>
              <w:rPr/>
              <w:t> </w:t>
            </w:r>
          </w:p>
        </w:tc>
        <w:tc>
          <w:tcPr>
            <w:tcW w:w="49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9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1475"/>
        <w:gridCol w:w="60"/>
        <w:gridCol w:w="1310"/>
        <w:gridCol w:w="60"/>
        <w:gridCol w:w="3575"/>
      </w:tblGrid>
      <w:tr>
        <w:trPr/>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4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registrant’s common stock is quoted on the OTCQX® Best Market under the symbol “VXRT.”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222" w:type="dxa"/>
        <w:jc w:val="left"/>
        <w:tblInd w:w="0" w:type="dxa"/>
        <w:tblLayout w:type="fixed"/>
        <w:tblCellMar>
          <w:top w:w="28" w:type="dxa"/>
          <w:left w:w="28" w:type="dxa"/>
          <w:bottom w:w="28" w:type="dxa"/>
          <w:right w:w="28" w:type="dxa"/>
        </w:tblCellMar>
      </w:tblPr>
      <w:tblGrid>
        <w:gridCol w:w="916"/>
        <w:gridCol w:w="1306"/>
      </w:tblGrid>
      <w:tr>
        <w:trPr/>
        <w:tc>
          <w:tcPr>
            <w:tcW w:w="91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w:t>
            </w:r>
          </w:p>
        </w:tc>
        <w:tc>
          <w:tcPr>
            <w:tcW w:w="130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3, 2026, the Board of Directors (the “Board”) of Vaxart, Inc. (the “Company”), approved a Director Resignation Policy that requires a director, following certification of the stockholder vote from the meeting at which the election occurred, to promptly tender a written offer of resignation if the director receives more “withhold” votes than “for” votes in an uncontested election. The Nominating and Governance Committee of the Board is required to promptly consider the director’s offer of resignation and recommend to the Board whether to accept the resignation or reject it; and the Board is required to act on the Nominating and Governance Committee’s recommendation within 90 days following certification of the stockholder vote following receipt of the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on September 3, 2026, the Board approved a Director Stock Ownership Policy, pursuant to which a target level of stock ownership was set for the Company’s non-employee directors at two times the current annual cash retainer. The cash retainer for purposes of the Director Stock Ownership Policy includes the then current annual cash retainer for service on the Board excluding any incremental compensation for serving on Board committees or other additional duties. The value of shares held will be calculated annually based on the 90 day simple moving average price of the Company’s common stock on the Company’s principal trading market on which the common stock is listed or quoted as of December 31 of the current year (the “Measurement Date”), and compliance with the applicable stock ownership requirements under the Director Stock Ownership Policy will be measured as of each Measurement Date. For purposes of determining the ownership value held under the Director Stock Ownership Policy, shares of the Company’s common stock owned directly or indirectly by the director as well as shares of the Company’s common stock subject to vested or unvested share-based awards (e.g., restricted stock and restricted stock units) that vest based solely on service are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foregoing descriptions of the Director Resignation Policy and the Director Stock Ownership Policy do not purport to be complete and are qualified in their entirety by reference to the full text of the Director Resignation Policy and the Director Stock Ownership Policy, which will be filed as exhibits to the Company’s next periodic report.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SIGNATURES</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2120"/>
        <w:gridCol w:w="320"/>
        <w:gridCol w:w="3080"/>
      </w:tblGrid>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14, 2026</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VAXART, INC.</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Steven Lo</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Lo</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739</Words>
  <Characters>4023</Characters>
  <CharactersWithSpaces>4773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