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460" w:hanging="30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2024</w:t>
      </w:r>
    </w:p>
    <w:p>
      <w:pPr>
        <w:jc w:val="center"/>
        <w:ind w:right="-19"/>
        <w:spacing w:after="0" w:line="224" w:lineRule="auto"/>
        <w:rPr>
          <w:sz w:val="20"/>
          <w:szCs w:val="20"/>
          <w:color w:val="auto"/>
        </w:rPr>
      </w:pPr>
      <w:r>
        <w:rPr>
          <w:rFonts w:ascii="Times New Roman" w:cs="Times New Roman" w:eastAsia="Times New Roman" w:hAnsi="Times New Roman"/>
          <w:sz w:val="14"/>
          <w:szCs w:val="14"/>
          <w:color w:val="auto"/>
        </w:rPr>
        <w:t>OR</w:t>
      </w:r>
    </w:p>
    <w:p>
      <w:pPr>
        <w:spacing w:after="0" w:line="1" w:lineRule="exact"/>
        <w:rPr>
          <w:sz w:val="24"/>
          <w:szCs w:val="24"/>
          <w:color w:val="auto"/>
        </w:rPr>
      </w:pPr>
    </w:p>
    <w:p>
      <w:pPr>
        <w:ind w:left="460" w:hanging="30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5"/>
          </w:tcPr>
          <w:p>
            <w:pPr>
              <w:ind w:left="100"/>
              <w:spacing w:after="0" w:line="189"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620" w:type="dxa"/>
            <w:vAlign w:val="bottom"/>
            <w:tcBorders>
              <w:bottom w:val="single" w:sz="8" w:color="auto"/>
            </w:tcBorders>
            <w:gridSpan w:val="2"/>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to</w:t>
            </w:r>
          </w:p>
        </w:tc>
        <w:tc>
          <w:tcPr>
            <w:tcW w:w="900" w:type="dxa"/>
            <w:vAlign w:val="bottom"/>
            <w:tcBorders>
              <w:bottom w:val="single" w:sz="8" w:color="auto"/>
            </w:tcBorders>
            <w:gridSpan w:val="2"/>
          </w:tcPr>
          <w:p>
            <w:pPr>
              <w:spacing w:after="0"/>
              <w:rPr>
                <w:sz w:val="16"/>
                <w:szCs w:val="16"/>
                <w:color w:val="auto"/>
              </w:rPr>
            </w:pPr>
          </w:p>
        </w:tc>
        <w:tc>
          <w:tcPr>
            <w:tcW w:w="194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60" w:type="dxa"/>
            <w:vAlign w:val="bottom"/>
            <w:gridSpan w:val="13"/>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Commission file number: 001-35285</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left="218"/>
              <w:spacing w:after="0"/>
              <w:rPr>
                <w:sz w:val="20"/>
                <w:szCs w:val="20"/>
                <w:color w:val="auto"/>
              </w:rPr>
            </w:pPr>
            <w:r>
              <w:rPr>
                <w:rFonts w:ascii="Times New Roman" w:cs="Times New Roman" w:eastAsia="Times New Roman" w:hAnsi="Times New Roman"/>
                <w:sz w:val="25"/>
                <w:szCs w:val="25"/>
                <w:b w:val="1"/>
                <w:bCs w:val="1"/>
                <w:color w:val="auto"/>
                <w:w w:val="99"/>
              </w:rPr>
              <w:t>Vaxart, Inc.</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gridSpan w:val="12"/>
          </w:tcPr>
          <w:p>
            <w:pPr>
              <w:jc w:val="center"/>
              <w:ind w:right="53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59-1212264</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gridSpan w:val="9"/>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CA 94080</w:t>
            </w:r>
          </w:p>
        </w:tc>
        <w:tc>
          <w:tcPr>
            <w:tcW w:w="336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(650) 550-3500</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98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10"/>
          </w:tcPr>
          <w:p>
            <w:pPr>
              <w:jc w:val="center"/>
              <w:ind w:right="5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 w:type="dxa"/>
            <w:vAlign w:val="bottom"/>
          </w:tcPr>
          <w:p>
            <w:pPr>
              <w:spacing w:after="0"/>
              <w:rPr>
                <w:sz w:val="19"/>
                <w:szCs w:val="19"/>
                <w:color w:val="auto"/>
              </w:rPr>
            </w:pPr>
          </w:p>
        </w:tc>
      </w:tr>
      <w:tr>
        <w:trPr>
          <w:trHeight w:val="395"/>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60" w:type="dxa"/>
            <w:vAlign w:val="bottom"/>
            <w:gridSpan w:val="14"/>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5"/>
          </w:tcPr>
          <w:p>
            <w:pPr>
              <w:jc w:val="center"/>
              <w:ind w:left="278"/>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registered</w:t>
            </w:r>
          </w:p>
        </w:tc>
        <w:tc>
          <w:tcPr>
            <w:tcW w:w="10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gridSpan w:val="5"/>
          </w:tcPr>
          <w:p>
            <w:pPr>
              <w:jc w:val="center"/>
              <w:ind w:left="278"/>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100" w:type="dxa"/>
            <w:vAlign w:val="bottom"/>
            <w:gridSpan w:val="3"/>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80" w:type="dxa"/>
            <w:vAlign w:val="bottom"/>
            <w:gridSpan w:val="15"/>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0"/>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14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432"/>
        </w:trPr>
        <w:tc>
          <w:tcPr>
            <w:tcW w:w="9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11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7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0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63" w:lineRule="exact"/>
        <w:rPr>
          <w:sz w:val="24"/>
          <w:szCs w:val="24"/>
          <w:color w:val="auto"/>
        </w:rPr>
      </w:pPr>
    </w:p>
    <w:p>
      <w:pPr>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5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346" w:lineRule="exact"/>
        <w:rPr>
          <w:sz w:val="24"/>
          <w:szCs w:val="24"/>
          <w:color w:val="auto"/>
        </w:rPr>
      </w:pPr>
    </w:p>
    <w:p>
      <w:pPr>
        <w:spacing w:after="0" w:line="207" w:lineRule="exact"/>
        <w:tabs>
          <w:tab w:leader="none" w:pos="9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the last business day of the Registrant’s most recently completed second fiscal quarter, June 28, 2024, based on the last reported sales price of the Registrant’s common stock of $0.67 per share, was $150,839,206. As of March 13, 2025, the registrant had a total of 227,949,245 shares of common stock issued and outstanding.</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ectPr>
          <w:pgSz w:w="11900" w:h="16838" w:orient="portrait"/>
          <w:cols w:equalWidth="0" w:num="1">
            <w:col w:w="11240"/>
          </w:cols>
          <w:pgMar w:left="320" w:top="688"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14"/>
            <w:vMerge w:val="restart"/>
          </w:tcPr>
          <w:p>
            <w:pPr>
              <w:ind w:left="180"/>
              <w:spacing w:after="0"/>
              <w:rPr>
                <w:sz w:val="20"/>
                <w:szCs w:val="20"/>
                <w:color w:val="auto"/>
              </w:rPr>
            </w:pPr>
            <w:r>
              <w:rPr>
                <w:rFonts w:ascii="Times New Roman" w:cs="Times New Roman" w:eastAsia="Times New Roman" w:hAnsi="Times New Roman"/>
                <w:sz w:val="18"/>
                <w:szCs w:val="18"/>
                <w:color w:val="0000EE"/>
                <w:w w:val="98"/>
              </w:rPr>
              <w:t>FORWARD-LOOKING STATEMENTS</w:t>
            </w:r>
          </w:p>
        </w:tc>
        <w:tc>
          <w:tcPr>
            <w:tcW w:w="1920" w:type="dxa"/>
            <w:vAlign w:val="bottom"/>
            <w:tcBorders>
              <w:top w:val="single" w:sz="8" w:color="auto"/>
              <w:bottom w:val="single" w:sz="8" w:color="auto"/>
            </w:tcBorders>
            <w:gridSpan w:val="11"/>
            <w:vMerge w:val="restart"/>
          </w:tcPr>
          <w:p>
            <w:pPr>
              <w:spacing w:after="0"/>
              <w:rPr>
                <w:sz w:val="24"/>
                <w:szCs w:val="24"/>
                <w:color w:val="auto"/>
              </w:rPr>
            </w:pPr>
          </w:p>
        </w:tc>
        <w:tc>
          <w:tcPr>
            <w:tcW w:w="4220" w:type="dxa"/>
            <w:vAlign w:val="bottom"/>
            <w:gridSpan w:val="7"/>
            <w:vMerge w:val="restart"/>
          </w:tcPr>
          <w:p>
            <w:pPr>
              <w:spacing w:after="0"/>
              <w:rPr>
                <w:sz w:val="24"/>
                <w:szCs w:val="24"/>
                <w:color w:val="auto"/>
              </w:rPr>
            </w:pPr>
          </w:p>
        </w:tc>
        <w:tc>
          <w:tcPr>
            <w:tcW w:w="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14"/>
            <w:vMerge w:val="continue"/>
          </w:tcPr>
          <w:p>
            <w:pPr>
              <w:spacing w:after="0"/>
              <w:rPr>
                <w:sz w:val="14"/>
                <w:szCs w:val="14"/>
                <w:color w:val="auto"/>
              </w:rPr>
            </w:pPr>
          </w:p>
        </w:tc>
        <w:tc>
          <w:tcPr>
            <w:tcW w:w="1920" w:type="dxa"/>
            <w:vAlign w:val="bottom"/>
            <w:gridSpan w:val="11"/>
            <w:vMerge w:val="continue"/>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40" w:type="dxa"/>
            <w:vAlign w:val="bottom"/>
            <w:gridSpan w:val="5"/>
          </w:tcPr>
          <w:p>
            <w:pPr>
              <w:jc w:val="right"/>
              <w:ind w:right="100"/>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5100" w:type="dxa"/>
            <w:vAlign w:val="bottom"/>
            <w:gridSpan w:val="11"/>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1B.</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1C.</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3"/>
          </w:tcPr>
          <w:p>
            <w:pPr>
              <w:jc w:val="center"/>
              <w:ind w:right="508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54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63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9A.</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9B.</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ITEM 9C.</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87</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820" w:type="dxa"/>
            <w:vAlign w:val="bottom"/>
            <w:tcBorders>
              <w:top w:val="single" w:sz="8" w:color="0000EE"/>
            </w:tcBorders>
            <w:gridSpan w:val="3"/>
          </w:tcPr>
          <w:p>
            <w:pPr>
              <w:spacing w:after="0"/>
              <w:rPr>
                <w:sz w:val="24"/>
                <w:szCs w:val="24"/>
                <w:color w:val="auto"/>
              </w:rPr>
            </w:pPr>
          </w:p>
        </w:tc>
        <w:tc>
          <w:tcPr>
            <w:tcW w:w="420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10.</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88</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12.</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99</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13.</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101</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5"/>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14.</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102</w:t>
            </w:r>
          </w:p>
        </w:tc>
        <w:tc>
          <w:tcPr>
            <w:tcW w:w="0" w:type="dxa"/>
            <w:vAlign w:val="bottom"/>
          </w:tcPr>
          <w:p>
            <w:pPr>
              <w:spacing w:after="0"/>
              <w:rPr>
                <w:sz w:val="1"/>
                <w:szCs w:val="1"/>
                <w:color w:val="auto"/>
              </w:rPr>
            </w:pPr>
          </w:p>
        </w:tc>
      </w:tr>
      <w:tr>
        <w:trPr>
          <w:trHeight w:val="412"/>
        </w:trPr>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502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15.</w:t>
            </w:r>
          </w:p>
        </w:tc>
        <w:tc>
          <w:tcPr>
            <w:tcW w:w="800" w:type="dxa"/>
            <w:vAlign w:val="bottom"/>
            <w:gridSpan w:val="4"/>
          </w:tcPr>
          <w:p>
            <w:pPr>
              <w:spacing w:after="0"/>
              <w:rPr>
                <w:sz w:val="17"/>
                <w:szCs w:val="17"/>
                <w:color w:val="auto"/>
              </w:rPr>
            </w:pPr>
          </w:p>
        </w:tc>
        <w:tc>
          <w:tcPr>
            <w:tcW w:w="9280" w:type="dxa"/>
            <w:vAlign w:val="bottom"/>
            <w:gridSpan w:val="32"/>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color w:val="0000EE"/>
              </w:rPr>
              <w:t>103</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104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ITEM 16.</w:t>
            </w:r>
          </w:p>
        </w:tc>
        <w:tc>
          <w:tcPr>
            <w:tcW w:w="800" w:type="dxa"/>
            <w:vAlign w:val="bottom"/>
            <w:gridSpan w:val="4"/>
          </w:tcPr>
          <w:p>
            <w:pPr>
              <w:spacing w:after="0"/>
              <w:rPr>
                <w:sz w:val="24"/>
                <w:szCs w:val="24"/>
                <w:color w:val="auto"/>
              </w:rPr>
            </w:pPr>
          </w:p>
        </w:tc>
        <w:tc>
          <w:tcPr>
            <w:tcW w:w="9280" w:type="dxa"/>
            <w:vAlign w:val="bottom"/>
            <w:gridSpan w:val="32"/>
          </w:tcPr>
          <w:p>
            <w:pPr>
              <w:ind w:left="180"/>
              <w:spacing w:after="0"/>
              <w:rPr>
                <w:sz w:val="20"/>
                <w:szCs w:val="20"/>
                <w:color w:val="auto"/>
              </w:rPr>
            </w:pPr>
            <w:r>
              <w:rPr>
                <w:rFonts w:ascii="Times New Roman" w:cs="Times New Roman" w:eastAsia="Times New Roman" w:hAnsi="Times New Roman"/>
                <w:sz w:val="18"/>
                <w:szCs w:val="18"/>
                <w:color w:val="0000EE"/>
              </w:rPr>
              <w:t>Form 10-K Summary</w:t>
            </w:r>
          </w:p>
        </w:tc>
        <w:tc>
          <w:tcPr>
            <w:tcW w:w="4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0000EE"/>
              </w:rPr>
              <w:t>107</w:t>
            </w: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0000EE"/>
              </w:rPr>
              <w:t>108</w:t>
            </w:r>
          </w:p>
        </w:tc>
        <w:tc>
          <w:tcPr>
            <w:tcW w:w="0" w:type="dxa"/>
            <w:vAlign w:val="bottom"/>
          </w:tcPr>
          <w:p>
            <w:pPr>
              <w:spacing w:after="0"/>
              <w:rPr>
                <w:sz w:val="1"/>
                <w:szCs w:val="1"/>
                <w:color w:val="auto"/>
              </w:rPr>
            </w:pPr>
          </w:p>
        </w:tc>
      </w:tr>
      <w:tr>
        <w:trPr>
          <w:trHeight w:val="595"/>
        </w:trPr>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for the year ended December 31, 2024, contains forward-looking statements within the meaning of Section 27A of the Securities Act of 1933, as amended (the “Securities Act”) and Section 21E of the Securities Exchange Act of 1934, as amended (the “Exchange Act”), which are subject to the “safe harbor” created by those sections,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You can identify these statements by words such as “anticipate,” “assume,” “believe,” “could,” “estimate,” “expect,” “intend,” “may,” “plan,” “should,” “will,” “would,”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(the “SEC”) after the date of this Annual Report.</w:t>
      </w:r>
    </w:p>
    <w:p>
      <w:pPr>
        <w:spacing w:after="0" w:line="19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This Annual Report also contains market data related to our business and industry. These market data include projections that are based on a number of assumptions. If these assumptions turn out to be incorrect, actual results may differ from the projections based on these assumptions. As a result, our markets may not grow at the rates projected by these data, or at all. The failure of these markets to grow at these projected rates may harm our business, results of operations, financial condition and the market price of our common stock. See our </w:t>
      </w:r>
      <w:r>
        <w:rPr>
          <w:rFonts w:ascii="Times New Roman" w:cs="Times New Roman" w:eastAsia="Times New Roman" w:hAnsi="Times New Roman"/>
          <w:sz w:val="18"/>
          <w:szCs w:val="18"/>
          <w:u w:val="single" w:color="auto"/>
          <w:color w:val="0000EE"/>
        </w:rPr>
        <w:t>Summary of 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 Unless otherwise indicated, all references to “Vaxart,” “we,” “us,” “our” or the “Company” in this Annual Report mean Vaxart, Inc., the combined company.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w:t>
      </w:r>
    </w:p>
    <w:p>
      <w:pPr>
        <w:spacing w:after="0" w:line="16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oral tablet vaccine candidates offer important advantages: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they are designed to generate broad and durable immune responses, including systemic, mucosal and T cell responses, which may enhance protection against certain infectious diseases, such as norovirus, COVID-19 and influenza, and may have potential clinical benefit for certain cancers and chronic viral infections, such as those caused by HPV.</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Second, our tablet vaccine candidates are designed to provide a more efficient and convenient method of administration, enhance patient acceptance and reduce distribution bottlenecks, which we believe will improve the effectiveness of vaccination campaigns.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Tablet Vaccine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technology employs a vector-based approach and consists of the following components:</w:t>
      </w:r>
    </w:p>
    <w:p>
      <w:pPr>
        <w:spacing w:after="0" w:line="225" w:lineRule="exact"/>
        <w:rPr>
          <w:sz w:val="20"/>
          <w:szCs w:val="20"/>
          <w:color w:val="auto"/>
        </w:rPr>
      </w:pPr>
    </w:p>
    <w:p>
      <w:pPr>
        <w:ind w:left="660" w:right="2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vector, which is a virus used as a carrier to deliver DNA coding for vaccine antigens and an adjuvant selected to activate the immune system. Specifically, we use non-replicating adenovirus type 5 (“Ad5”), which delivers the DNA encoding both the antigen and adjuvant to the cells of the small intestine, where the antigen and adjuvant are co-expressed. Over 200 clinical trials conducted by others have used Ad5 for a wide range of applications, and we believe that using the same adenovirus in our tablet vaccine candidates may reduce regulatory risk because it is known to regulatory authorities.</w:t>
      </w:r>
    </w:p>
    <w:p>
      <w:pPr>
        <w:spacing w:after="0" w:line="18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antigen, which is a viral or bacterial protein that stimulates an immune response to the targeted pathogen. Our antigens are encoded in the Ad5 DNA rather than being directly included in the vaccine. We use a different antigen for each of our clinical vaccine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adjuvant, which is a substance that enhances the immune-stimulating properties of the vaccine. We use a short section of double-stranded RNA (“dsRNA”) encoded in the Ad5 DNA as an adjuvant. dsRNA is a Toll-like receptor 3 (“TLR3”) agonist and is recognized by the innate immune system as a signal of a viral infection and thereby triggering it to mount an immune response in defense.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enteric-coated tablet, which is designed to deliver the Ad5 vector to the small intestine.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Our Tablet Vaccine Candidates Work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tablets are designed to deliver vaccines to the small intestine. The tablets are covered with a protective coating that remains intact in the low-pH environment of the stomach and protects the active ingredient contained in the tablet core from degradation in the stomach. The coating is designed to dissolve in the neutral-pH environment of the small intestine. The tablets disintegrate, and the vaccine is released into the small intestine where it can reach and enter the mucosal cells lining the intestine. Once inside the mucosal cells, the Ad5 vector instructs the cells to manufacture antigen protein and adjuvant. The adjuvant is always produced within the exact same intestinal cells that also produce the antigen, so that no excess adjuvant is produced, resulting in enhanced safety. Importantly, the production of antigens in our approach closely mimics the process of actual infection by a pathogenic virus. In addition, we believe that delivering the replication-incompetent Ad5-vectored vaccine via tablet directly to the gut avoids neutralization by systemic immunity.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Significance of Mucosal Immunity and T Cell Responses</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immune system has developed defenses against pathogens by creating special classes of immune effectors, such as mucosal antibodies directed to wet surfaces and killer T cells that can kill pathogen-infected cells. Most vaccines available today have been developed primarily to elicit blood circulating, or systemic B cell responses, such as serum antibodies. However, there remain many infections, such as norovirus, for which no approved or marketed vaccines exist. These infections and other pathogens may need greater immune responses outside of serum antibodies. These infections largely evade the serum antibody immune response because the pathogen can infect cells that line the mucosal membranes without coming into direct contact with blood.</w:t>
      </w:r>
    </w:p>
    <w:p>
      <w:pPr>
        <w:spacing w:after="0" w:line="1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One of the key benefits of our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surface where such pathogens invade. Our tablet vaccine candidates target the mucosal immune cells with a vector-based approach and are designed to create a more potent cytotoxic T cell response and mucosal antibody response, which may provide more effective immunity for certain diseases. Further, we have demonstrated that our vaccine delivered to the intestine can produce mucosal responses at sites distal to the intestine such as the nose and the mouth.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Non-Replicating Ad5 Vector is Designed to Circumvent Anti-Vector Issues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Injected Ad5 vectored vaccines generate strong anti-Ad5 responses, with up to a 100-fold increase in the anti-Ad5 neutralizing antibody titers. In contrast, our oral Ad5 vectored vaccine is designed to circumvent the complications related to anti-Ad5 immunity, allowing the platform to be used for multiple vaccines and repeat annual and booster vaccinations.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outlines the status of our oral vaccine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95820" cy="261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82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Norovirus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Norovirus is the leading cause of vomiting and diarrhea from acute gastroenteritis among people of all ages in the U.S. Each year, on average, norovirus causes 19 to 21 million cases of acute gastroenteritis and contributes to 109,000 hospitalizations and 900 deaths, mostly among young children and older adults. In the U.S., we believe a norovirus vaccine would be beneficial for high-risk groups such as infants and children up to five years old, older adults and the elderly, as well as for workers in the food and travel industries, for healthcare, childcare and elder care workers, first responders, the military, and travelers. In a study published by Johns Hopkins University and the Centers for Disease Control and Prevention (“CDC”) in 2016, the total global annual economic burden of norovirus was estimated at $60 billion. In a more recent health economic study published in the Journal of Infectious Diseases in July 2020, the economic impact to the U.S. was estimated to be $10.6 billion annually. There are currently no approved vaccines or therapies to prevent or treat norovirus infection.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Norovirus Vaccine Candidate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developing a VP1-based bivalent oral tablet vaccine candidate that would protect against norovirus GI and norovirus GII, the two major norovirus genogroups affecting humans, by targeting the norovirus GI.1 Norwalk strain and the norovirus GII.4 Sydney strain. Because norovirus is an enteric pathogen that infects epithelial cells of the small intestine, we believe that a vaccine that produces antibodies against norovirus locally in the intestine, such as our tablet vaccine candidate which is delivered directly to the gut, may induce optimal protection against infection.</w:t>
      </w:r>
    </w:p>
    <w:p>
      <w:pPr>
        <w:spacing w:after="0" w:line="18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September 2023, we announced that our Phase 2 GI.1 norovirus challenge study evaluating the safety, immunogenicity, and clinical efficacy of the GI.1 component of our first-generation bivalent norovirus vaccine candidate met five of six primary endpoints based on preliminary topline data. The study achieved its primary endpoints of a statistically significant 29% relative reduction in the rate of norovirus infection between the vaccinated and placebo arms, a strong induction of norovirus-specific immunoglobulin A (IgA) and immunoglobulin G (IgG) antibodies, and other immune response endpoints.</w:t>
      </w:r>
    </w:p>
    <w:p>
      <w:pPr>
        <w:spacing w:after="0" w:line="16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Vaccination also led to a 21% relative reduction in norovirus acute gastroenteritis in the vaccine arm compared to placebo, but this was not statistically significant. In prespecified analyses, the study also showed an 85% relative decrease in viral shedding in the vaccine arm compared with placebo and no statistically significant difference in disease severity in the vaccinated cohort compared with placebo. The vaccine candidate was also safe and well tolerated with no vaccine-related serious adverse events.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our norovirus clinical data findings to date, our norovirus oral vaccination induces mucosal and systemic immune responses. Norovirus oral vaccination reduced shedding and infection in a rigorous human challenge model. Based on our machine learning and evaluation of more than 13 different immune parameters, norovirus vaccination protection most tightly associates with making a functional antibody response to norovirus in the serum (“NBAA”) and norovirus specific fecal IgA antibodies. Because of the strong induction of mucosal IgA due to the oral vaccination and potential read through into the serum, we believe that this likely means that a functional fecal IgA response is probably critical for protection against norovirus infection.</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second half of 2024, we received constructive feedback from the U.S. Food and Drug Administration (“FDA”) on our data for potential correlates of protection and next steps for our norovirus program. While we believe we have identified a functional antibody response that may be associated with protection for norovirus, the FDA requested new clinical data before proceeding with further review of our potential correlate.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2024, we also created new, second-generation norovirus GI.1 and GII.4 constructs. Based on preclinical data, the second-generation norovirus GI.1 and GII.4 constructs are more potent than the first-generation norovirus constructs we previously evaluated in clinical trials.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advice from advisors and infectious disease experts, we decided to proceed with a Phase 1, open label, dose ranging clinical trial evaluating our second-generation oral norovirus vaccine constructs head-to-head against our first-generation constructs. The trial will measure safety and immunogenicity, including immune parameters that have correlated to protection in our Phase 2 GI.1 norovirus challenge study. The Phase 1 trial initiated in March 2025 and topline data is expected as early as the middle of 2025.</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 Phase 1 trial is successful, the next step, pending a partnership or other funding, would be to conduct a Phase 2 safety and immunogenicity study that could potentially begin as early as the second half of 2025. This Phase 2 trial would be followed by an End of Phase 2 meeting with the FDA. A Phase 3 trial could then begin as early as 2026, pending a successful End of Phase 2 meeting and funding.</w:t>
      </w:r>
    </w:p>
    <w:p>
      <w:pPr>
        <w:spacing w:after="0" w:line="17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Pediatric Population</w:t>
      </w:r>
      <w:r>
        <w:rPr>
          <w:rFonts w:ascii="Times New Roman" w:cs="Times New Roman" w:eastAsia="Times New Roman" w:hAnsi="Times New Roman"/>
          <w:sz w:val="18"/>
          <w:szCs w:val="18"/>
          <w:color w:val="auto"/>
        </w:rPr>
        <w:t>. Our current tablet vaccine formulation is designed for delivery to the gut in solid dosage form using an enteric-coated tablet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is the optimal vaccine delivery system for the adult population and children eight years and older. For children six months to seven years in age, we plan to develop minitablet formulations that can deliver the vectored vaccine intact to the gut. Development of our norovirus vaccine in the pediatric population will proceed with a stepdown approach through progressively younger age segments (i.e. 8 to 5 years, 4 to 2 years, 2 years to 6 months).</w:t>
      </w:r>
    </w:p>
    <w:p>
      <w:pPr>
        <w:spacing w:after="0" w:line="17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Breastfeeding Mothers. </w:t>
      </w:r>
      <w:r>
        <w:rPr>
          <w:rFonts w:ascii="Times New Roman" w:cs="Times New Roman" w:eastAsia="Times New Roman" w:hAnsi="Times New Roman"/>
          <w:sz w:val="18"/>
          <w:szCs w:val="18"/>
          <w:color w:val="auto"/>
        </w:rPr>
        <w:t>We are currently partnering with the Bill &amp; Melinda Gates Foundation to execute a Phase 1 norovirus bivalent vaccine candidate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study in 76 healthy, lactating post-partum, women volunteers, to determine the impact of our norovirus vaccine on breast milk norovirus-specific IgA and its potential presence, post-breastfeeding, within infant fecal samples. The study is randomized, double-blinded, and placebo controlled and will evaluate the safety, tolerability, and immunogenicity of the placebo cohorts and two vaccine cohorts: medium dose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and high dose (2×10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Passive transfer of antibodies from mother to infant that are induced in milk may protect breastfeeding infants from infectious pathogens. We initiated this study in the fourth quarter of 2023 and announced positive top line results in April 2024. Top line results showed antibodies rose in lactating mothers who received the high dose of our bivalent vaccine candidate. Specifically, serum antibodies to norovirus rose on average 5.6 fold in response to the GI.1 virus strain and 4.4 fold in response to the GII.4 virus strain and breast milk antibodies to norovirus rose on average 4.0 fold in response to the GI.1 virus strain and 6.0 fold in response to the GII.4 virus strain. The vaccine was well tolerated with no vaccine-related serious adverse events and no dose-limiting pharmacotoxicity. As a grant recipient from the Bill &amp; Melinda Gates Foundation, Vaxart has agreed to a global access commitment for use of its bivalent norovirus vaccine candidate, if proven effective and approved, in breastfeeding mothers from low- and middle-income countries.</w:t>
      </w:r>
    </w:p>
    <w:p>
      <w:pPr>
        <w:sectPr>
          <w:pgSz w:w="11900" w:h="16838" w:orient="portrait"/>
          <w:cols w:equalWidth="0" w:num="1">
            <w:col w:w="11240"/>
          </w:cols>
          <w:pgMar w:left="320" w:top="121" w:right="339" w:bottom="605"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COVID-19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Coronaviruses comprise a group of respiratory viruses, encompassing SARS-CoV-1, SARS-CoV-2, and Middle East respiratory syndrome coronavirus (MERS-CoV), among various others. SARS-CoV-2, the virus responsible for COVID-19, induces a severe respiratory tract infection and stands as a significant cause of hospitalization and mortality globally. Currently approved COVID-19 vaccines seem to have varying levels of efficacy to emerging strains of SARS-CoV-2.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COVID-19 Vaccine Candidates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spent significant effort developing COVID-19 vaccine candidates over the past few years. One of our first COVID-19 vaccine candidates (rAd-S, known as Vaxart clinical candidate VXA-CoV2-1.1-S) expressed only the spike (“S”) protein from the SARS-CoV-2 Wuhan strain. In September 2022, we announced the results from the first part of a two-part Phase 2 clinical study evaluating the safety and immunogenicity of VXA-CoV2-1.1-S met both its primary and secondary endpoints based on topline data. VXA-CoV2-1.1-S was able to boost the serum antibody responses for volunteers that previously received an mRNA vaccine (either Pfizer/BioNTech or Moderna). Serum neutralizing antibody responses to SARS-CoV-2 (Wuhan), a recognized correlate of protection, were boosted in this population from a geometric mean of 481 to 778, a fold rise of 1.6. Volunteers that had lower starting titers had larger increases than subjects that had higher titers. There were also substantial increases in the neutralizing antibody responses to the SARS-CoV-2 Omicron BA4/5 in these volunteers as measured by sVNT assay. Increases in the mucosal IgA antibody responses (antibodies in the nose and mouth) were observed in approximately 50% of subjects. Subjects that had an increase in the mucosal IgA response to SARS-CoV-2 Wuhan S had an increase in IgA responses to other coronaviruses including SARS-CoV-2 Omicron BA4/5, SARS-CoV-1, and MERS-CoV, demonstrating the cross-reactive nature of these immune readouts. We are not proceeding with the second part of the study.</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also made a COVID-19 vaccine candidate that expresses only the S protein from the SARS-CoV-2 XBB strain as well as a COVID-19 vaccine candidate that expresses the S protein from the SARS-CoV-2 KP.2 strain. Based on preclinical data, our XBB COVID-19 vaccine candidate is more potent than our prior COVID-19 vaccine constructs.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January 2024, we were awarded a contract by the U.S. Biomedical Advanced Research and Development Authority (“BARDA”), a division of the Administration for Strategic Preparedness and Response (“ASPR”) within the U.S. Department of Health and Human Services (“HHS”), for $9.3 million to fund preparation for a Phase 2b clinical study involving 10,000 patients. Vaxart executed on the deliverables and received all $9.3 million of cash payments related to this contract in 2024. BARDA and Vaxart are currently discussing contract closeout for this contract.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2024, we entered into an agreement (as modified or amended from time to time, the “2024 ATI-RRPV Contract”) with Advanced Technology International (“ATI”), the Rapid Response Partnership Vehicle’s Consortium Management Firm funded by BARDA. The 2024 ATI-RRPV Contract provides for funding of up to $460.7 million to conduct the Phase 2b study, manufacture a COVID-19 vaccine candidate targeting the KP.2 strain, and acquire an approved mRNA vaccine targeting the KP.2 strain. In February 2025, we entered into Modification No. 5 (the “Modification”) to the 2024 ATI-RRPV Contract. The Modification increased the total amount of funding available for payment to approximately $240.1 million. Subsequently, in February 2025, we received written notification directing the Company to stop work on the 2024 ATI-RRPV Contract, with the exception that we may continue effort associated with the per protocol follow-up for the 400-person cohort. The stop work order is in effect for a period of 90 days and, that within a period of 90 days, ATI, as directed by the U.S. Government, will either cancel the stop work order, extend the stop work, or terminate the work covered by the 2024 ATI-RRPV Contract.</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Phase 2b study is a double-blind, multi-center, randomized, comparator-controlled study to determine the relative efficacy, safety, and immunogenicity of Vaxart’s oral pill COVID-19 vaccine candidate against an approved mRNA COVID-19 injectable vaccine in adults previously immunized against COVID-19 infection. The study design anticipates enrolling approximately 10,400 healthy adults 18 years and older in the U.S. with approximately 5,200 receiving our COVID-19 vaccine candidate and approximately 5,200 receiving an approved mRNA comparator. The study will strive to enroll participants in line with U.S. demographics, as well as including at least 25% over the age of 65.</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Phase 2b study will measure efficacy for symptomatic and asymptomatic disease, systemic and mucosal immune induction, and the incidence of adverse events. The primary endpoint is relative efficacy of Vaxart’s COVID-19 vaccine candidate compared to an approved mRNA comparator for the prevention of symptomatic disease. Primary efficacy analysis will be performed when all participants have either discontinued or completed a study visit 12 months post-vaccination.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second half of 2024, we initiated and completed enrollment of the sentinel cohort of the Phase 2b study consisting of 400 individuals comparing our XBB COVID-19 vaccine candidate against an approved mRNA XBB comparator. In January 2025, an independent data safety monitoring board (“DSMB”) recommended the study to proceed without modifications based on initial safety assessment of 30-day data from the sentinel cohort. Subject to the stop work order described above, if we receive approval from BARDA, we will progress to the next part of the study to enroll approximately 10,000 participants comparing our KP.2 COVID-19 vaccine candidate against an approved mRNA KP.2 comparator.</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Influenza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Influenza is one of the most common global infectious diseases, causing mild to life-threatening illness with symptoms such as sore throat, nasal discharge, fever, and even death. It is estimated that there are around one billion cases of seasonal influenza annually worldwide, of which 3 million to 5 million cases are considered severe, causing 290,000 to 650,000 deaths per year globally. Very young children and the elderly are at greatest risk from death. In the U.S., between 9,000,000 and 41,000,000 people catch influenza annually, between 140,000 and 710,000 people are hospitalized with complications of influenza, and between 12,000 and 52,000 people die from influenza and its complications each year.</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CDC generally recommends that individuals six months and older be vaccinated annually against influenza. In the U.S., this means an influenza vaccination is recommended for more than 300 million people.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Seasonal Influenza Vaccine Candidate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developing a tablet vaccine candidate for the immunization of healthy adults against seasonal influenza. Commercial seasonal influenza vaccines today are composed of either three (trivalent) or four (quadrivalent) strains, either one influenza B and two influenza A strains, or two of each. Our seasonal influenza vaccine candidate is a trivalent seasonal influenza vaccine consisting of two circulating influenza A lineage viruses (H1N1 and H3N2) as well as one circulating influenza B lineage virus (B/Victoria lineage), matching the seasonally updated recommendations by the World Health Organization. We envision formulating our tablet vaccine candidate as one tablet per strain, or three tablets in total for the trivalent vaccine. We believe this modularity will allow for enhanced flexibility. For instance, in the event of a late season strain change, the tablet containing the obsolete strain could be easily replaced without having to discard the two correctly matched vaccine tablets. We will also consider formulating all three strains into a single tablet. This format would be the simplest to administer but would take away some of the flexibility advantages that separate tablets would afford. We will assess the final formulation of our tablet vaccine candidates after conducting market studies to evaluate market acceptance closer to commercialization.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Clinical Trials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completed two Phase 1 trials and have conducted the active portion of a Phase 2 challenge trial of our H1N1 influenza vaccine candidate.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completed a Phase 1 trial of an influenza B vaccine candidate (B Yamagata lineage).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H1N1 Influenza Phase 2 Challenge Study Funded by HHS BARDA</w:t>
      </w:r>
    </w:p>
    <w:p>
      <w:pPr>
        <w:spacing w:after="0" w:line="22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2015, we were awarded a $13.9 million contract by BARDA, part of the HHS. This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our H1N1 tablet vaccine candidate offers broader and more durable protection than currently marketed injectable vaccines. The contract with HHS BARDA was subsequently increased to $15.7 million and the term was extended until September 2018.</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this Phase 2 study, volunteers were randomized into three groups. One group received our oral H1N1 influenza tablet vaccine candidate, a second group received a commercially licensed inactivated influenza vaccine by intramuscular injection, and a third group received placebo. Three months following immunization, volunteers were challenged (deliberate experimental administration) with live H1N1 (A/H1N1 pdm09) influenza virus by intranasal administration. The placebo group served as the control group to determine how many unvaccinated volunteers became infected and how severe their influenza symptoms became. Data from our vaccine candidate group and the commercially licensed inactivated vaccine group were compared to placebo to determine each vaccine’s efficacy in this challenge study. Importantly, the two vaccines were also compared head-to-head. The goal of the study was to compare the efficacy of our vaccine to protect volunteers from illness caused by H1N1 influenza challenge, compared to both the injectable vaccine and placebo three months after immunization.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VXA-CHAL-201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2 challenge study was enrolled during 2016 and 2017. During this time, 179 subjects that cleared the screening requirements were randomized to receive a single dose of our tablet vaccine, the commercial injectable vaccine, or placebo. Of these 179 subjects, 143 subjects were subsequently challenged with live H1N1 influenza virus 90 to 120 days after dosing.</w:t>
      </w:r>
    </w:p>
    <w:p>
      <w:pPr>
        <w:spacing w:after="0" w:line="172" w:lineRule="exact"/>
        <w:rPr>
          <w:sz w:val="20"/>
          <w:szCs w:val="20"/>
          <w:color w:val="auto"/>
        </w:rPr>
      </w:pPr>
    </w:p>
    <w:p>
      <w:pPr>
        <w:ind w:left="660" w:right="1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The side effects of the vaccines and placebo in the first seven days following administration were generally mild. In the first seven days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administration, the solicited adverse events reported in the vaccine and placebo groups were mostly grade 1 in severity, and none were above grade 2. The most frequent solicited adverse event was headache in our tablet vaccine group (7%), injection site tenderness in the commercially licensed inactivated vaccine group (26%) and headache in the placebo group (19%). There were no serious adverse events and no new onsets of chronic illnesses related to our vaccine adjuvant recorded during the follow up period of the study.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 Reduction of PCR Confirmed Influenza Illness.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primary efficacy objective was to determine vaccine efficacy of our tablet vaccine following the challenge with the wild-type influenza A H1 virus strain (A/H1N1 pdm09). The primary efficacy endpoint was illness. The illness rate was 29% for our tablet vaccine, 35% for the commercial inactivated influenza vaccine, and 48% for subjects in the placebo group. Our tablet vaccine had a lower rate of illness than the commercial vaccine (-6% difference in illness rate in favor of our vaccine), although given the small size of the study, these differences were not statistically significant. Similarly, the difference in illness rates between our tablet vaccine and placebo (-19.1%) and the commercial injected vaccine and placebo (-13.2%) trended toward protection but were not statistically significant. These results suggest that our vaccine is no worse, and trended better than the commercial vaccine for protection. These results are summarized in Table 2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2. </w:t>
      </w:r>
      <w:r>
        <w:rPr>
          <w:rFonts w:ascii="Times New Roman" w:cs="Times New Roman" w:eastAsia="Times New Roman" w:hAnsi="Times New Roman"/>
          <w:sz w:val="18"/>
          <w:szCs w:val="18"/>
          <w:color w:val="auto"/>
        </w:rPr>
        <w:t>H1 Influenza Phase 2 Challenge Study: Illness Rates*.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60" w:type="dxa"/>
            <w:vAlign w:val="bottom"/>
            <w:tcBorders>
              <w:top w:val="single" w:sz="8" w:color="auto"/>
              <w:left w:val="single" w:sz="8" w:color="auto"/>
              <w:bottom w:val="single" w:sz="8" w:color="auto"/>
              <w:right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auto"/>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VAXART</w:t>
            </w:r>
          </w:p>
        </w:tc>
        <w:tc>
          <w:tcPr>
            <w:tcW w:w="62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VAXART-Commercial</w:t>
            </w:r>
          </w:p>
        </w:tc>
        <w:tc>
          <w:tcPr>
            <w:tcW w:w="340" w:type="dxa"/>
            <w:vAlign w:val="bottom"/>
            <w:tcBorders>
              <w:top w:val="single" w:sz="8" w:color="auto"/>
              <w:bottom w:val="single" w:sz="8" w:color="auto"/>
              <w:right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Placebo</w:t>
            </w:r>
          </w:p>
        </w:tc>
      </w:tr>
      <w:tr>
        <w:trPr>
          <w:trHeight w:val="193"/>
        </w:trPr>
        <w:tc>
          <w:tcPr>
            <w:tcW w:w="5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88"/>
              </w:rPr>
              <w:t>n</w:t>
            </w: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c>
          <w:tcPr>
            <w:tcW w:w="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w:t>
            </w:r>
          </w:p>
        </w:tc>
        <w:tc>
          <w:tcPr>
            <w:tcW w:w="5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c>
          <w:tcPr>
            <w:tcW w:w="20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Rate Difference (95% CI)</w:t>
            </w:r>
          </w:p>
        </w:tc>
        <w:tc>
          <w:tcPr>
            <w:tcW w:w="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w:t>
            </w:r>
          </w:p>
        </w:tc>
        <w:tc>
          <w:tcPr>
            <w:tcW w:w="5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(95% CI)</w:t>
            </w:r>
          </w:p>
        </w:tc>
      </w:tr>
      <w:tr>
        <w:trPr>
          <w:trHeight w:val="209"/>
        </w:trPr>
        <w:tc>
          <w:tcPr>
            <w:tcW w:w="560" w:type="dxa"/>
            <w:vAlign w:val="bottom"/>
            <w:tcBorders>
              <w:left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(18.1, 42.7)</w:t>
            </w:r>
          </w:p>
        </w:tc>
        <w:tc>
          <w:tcPr>
            <w:tcW w:w="6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(22.7, 49.4)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 (-24.3, 12.5)</w:t>
            </w:r>
          </w:p>
        </w:tc>
        <w:tc>
          <w:tcPr>
            <w:tcW w:w="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(30.2, 66.9)</w:t>
            </w:r>
          </w:p>
        </w:tc>
      </w:tr>
    </w:tbl>
    <w:p>
      <w:pPr>
        <w:sectPr>
          <w:pgSz w:w="11900" w:h="16838" w:orient="portrait"/>
          <w:cols w:equalWidth="0" w:num="1">
            <w:col w:w="11240"/>
          </w:cols>
          <w:pgMar w:left="320" w:top="121" w:right="339" w:bottom="0" w:gutter="0" w:footer="0" w:header="0"/>
        </w:sectPr>
      </w:pPr>
    </w:p>
    <w:bookmarkStart w:id="10" w:name="page11"/>
    <w:bookmarkEnd w:id="10"/>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*Illness was defined as a combination of symptoms reported on a patient reported outcome tool (Flu-PRO</w:t>
      </w:r>
      <w:r>
        <w:rPr>
          <w:rFonts w:ascii="Times New Roman" w:cs="Times New Roman" w:eastAsia="Times New Roman" w:hAnsi="Times New Roman"/>
          <w:sz w:val="14"/>
          <w:szCs w:val="14"/>
          <w:i w:val="1"/>
          <w:iCs w:val="1"/>
          <w:color w:val="auto"/>
        </w:rPr>
        <w:t>TM</w:t>
      </w:r>
      <w:r>
        <w:rPr>
          <w:rFonts w:ascii="Times New Roman" w:cs="Times New Roman" w:eastAsia="Times New Roman" w:hAnsi="Times New Roman"/>
          <w:sz w:val="18"/>
          <w:szCs w:val="18"/>
          <w:i w:val="1"/>
          <w:iCs w:val="1"/>
          <w:color w:val="auto"/>
        </w:rPr>
        <w:t>) and quantitative reverse transcriptase polymerase chain reaction (qRT-PCR) detectable shed influenza virus.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 Shedding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Shedding represents influenza virus that is detected in nasal swabs post infection and is representative of viral infection and replication. In the study, 44.8% of subjects in VXA-A1.1 had at least one day positive for shedding, versus the commercial injected vaccine where 53.7% were positive for shedding and where 71.0% of placebo subjects were positive for shedding. There were no statistically significant differences observed between our tablet vaccine and the commercial inactivated influenza vaccine for viral shedding area under the curve (“AUC”). However, AUC was calculated using a standard logarithmic trapezoidal method and included only detectable shedding during the first five days of the duration of shedding, with subjects removed from the analysis that didn’t shed influenza for five days (a zero value cannot be used in log calculations and integrated). This may have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This approach eliminated possible issues related to calculations (log calculations of zero values) and of large doses of challenge virus (first 36 hours might be pass through rather than replicating influenza). In a Bayesian analysis, both vaccines significantly reduced the probability of shedding relative to placebo (Bayesian posterior p=0.001 for our tablet vaccine and p=0.009 for the commercial inactivated influenza vaccine). There is also trend toward greater efficacy for our vaccine with a posterior probability of approximately 80% (</w:t>
      </w:r>
      <w:r>
        <w:rPr>
          <w:rFonts w:ascii="Times New Roman" w:cs="Times New Roman" w:eastAsia="Times New Roman" w:hAnsi="Times New Roman"/>
          <w:sz w:val="18"/>
          <w:szCs w:val="18"/>
          <w:b w:val="1"/>
          <w:bCs w:val="1"/>
          <w:color w:val="auto"/>
        </w:rPr>
        <w:t>Table 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Table 3. </w:t>
      </w:r>
      <w:r>
        <w:rPr>
          <w:rFonts w:ascii="Times New Roman" w:cs="Times New Roman" w:eastAsia="Times New Roman" w:hAnsi="Times New Roman"/>
          <w:sz w:val="18"/>
          <w:szCs w:val="18"/>
          <w:color w:val="auto"/>
        </w:rPr>
        <w:t>H1 Influenza Phase 2 Challenge Study: Infection Rates*.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92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Treatment Arm</w:t>
            </w:r>
          </w:p>
        </w:tc>
        <w:tc>
          <w:tcPr>
            <w:tcW w:w="1260" w:type="dxa"/>
            <w:vAlign w:val="bottom"/>
            <w:tcBorders>
              <w:top w:val="single" w:sz="8" w:color="auto"/>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w:t>
            </w:r>
          </w:p>
        </w:tc>
        <w:tc>
          <w:tcPr>
            <w:tcW w:w="18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Infected</w:t>
            </w:r>
          </w:p>
        </w:tc>
        <w:tc>
          <w:tcPr>
            <w:tcW w:w="19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(95% CI)</w:t>
            </w:r>
          </w:p>
        </w:tc>
        <w:tc>
          <w:tcPr>
            <w:tcW w:w="2020" w:type="dxa"/>
            <w:vAlign w:val="bottom"/>
            <w:tcBorders>
              <w:top w:val="single" w:sz="8" w:color="auto"/>
              <w:bottom w:val="single" w:sz="8" w:color="auto"/>
              <w:right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Posterior P</w:t>
            </w:r>
          </w:p>
        </w:tc>
      </w:tr>
      <w:tr>
        <w:trPr>
          <w:trHeight w:val="193"/>
        </w:trPr>
        <w:tc>
          <w:tcPr>
            <w:tcW w:w="19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Placebo</w:t>
            </w:r>
          </w:p>
        </w:tc>
        <w:tc>
          <w:tcPr>
            <w:tcW w:w="1260" w:type="dxa"/>
            <w:vAlign w:val="bottom"/>
            <w:tcBorders>
              <w:bottom w:val="single" w:sz="8" w:color="auto"/>
              <w:right w:val="single" w:sz="8" w:color="auto"/>
            </w:tcBorders>
          </w:tcPr>
          <w:p>
            <w:pPr>
              <w:ind w:left="520"/>
              <w:spacing w:after="0" w:line="193" w:lineRule="exact"/>
              <w:rPr>
                <w:sz w:val="20"/>
                <w:szCs w:val="20"/>
                <w:color w:val="auto"/>
              </w:rPr>
            </w:pPr>
            <w:r>
              <w:rPr>
                <w:rFonts w:ascii="Times New Roman" w:cs="Times New Roman" w:eastAsia="Times New Roman" w:hAnsi="Times New Roman"/>
                <w:sz w:val="18"/>
                <w:szCs w:val="18"/>
                <w:color w:val="auto"/>
              </w:rPr>
              <w:t>31</w:t>
            </w:r>
          </w:p>
        </w:tc>
        <w:tc>
          <w:tcPr>
            <w:tcW w:w="18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22</w:t>
            </w:r>
          </w:p>
        </w:tc>
        <w:tc>
          <w:tcPr>
            <w:tcW w:w="19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71% (55-85%)</w:t>
            </w:r>
          </w:p>
        </w:tc>
        <w:tc>
          <w:tcPr>
            <w:tcW w:w="20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 (32-58%)</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0.009</w:t>
            </w:r>
          </w:p>
        </w:tc>
      </w:tr>
      <w:tr>
        <w:trPr>
          <w:trHeight w:val="210"/>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Vaxart Vaccine</w:t>
            </w:r>
          </w:p>
        </w:tc>
        <w:tc>
          <w:tcPr>
            <w:tcW w:w="126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58</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 (24-49%)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w:t>
            </w:r>
          </w:p>
        </w:tc>
      </w:tr>
    </w:tbl>
    <w:p>
      <w:pPr>
        <w:spacing w:after="0" w:line="196"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*Infection was defined as any positive quantitative reverse transcriptase polymerase chain reaction (qRT-PCR) detectable shed influenza virus on any day after 36 hours from viral challenge. In a Bayesian analysis, both vaccines provide a statistically significant protection against infection. There is also trend toward greater efficacy for our vaccine with a posterior probability of approximately 80%.</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Trial. Influenza B (Yamagata lineage)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In 2015 and 2016, we conducted a randomized, double-blind, placebo-controlled Phase 1 trial to test the safety and immunogenicity of an influenza B tablet vaccine. A total of 54 healthy adults aged 18 to 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or 1 x 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on Day 0.</w:t>
      </w:r>
    </w:p>
    <w:p>
      <w:pPr>
        <w:spacing w:after="0" w:line="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The side effects of the vaccine or placebo in the first seven days following administration were generally mild with no serious adverse events.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no notable differences between the active dose groups and placebo in safety and tolerability.</w:t>
      </w:r>
    </w:p>
    <w:p>
      <w:pPr>
        <w:spacing w:after="0" w:line="155"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HAI</w:t>
      </w:r>
      <w:r>
        <w:rPr>
          <w:rFonts w:ascii="Times New Roman" w:cs="Times New Roman" w:eastAsia="Times New Roman" w:hAnsi="Times New Roman"/>
          <w:sz w:val="18"/>
          <w:szCs w:val="18"/>
          <w:color w:val="auto"/>
        </w:rPr>
        <w:t>. In the placebo group, HAI GMT remained essentially unchanged (1:33) at day 28 post dosing. The GMFR of HAI titers both active treated groups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 28 post dosing was about 2-fold, and independent of dose. For the vaccinated groups receiving either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or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seroconversion was observed in 5/19 subjects (26.3%) and 3/19 subjects (15.8%), respectively. There were no seroconversions in the placebo group.</w:t>
      </w:r>
    </w:p>
    <w:p>
      <w:pPr>
        <w:spacing w:after="0" w:line="194" w:lineRule="exact"/>
        <w:rPr>
          <w:sz w:val="20"/>
          <w:szCs w:val="20"/>
          <w:color w:val="auto"/>
        </w:rPr>
      </w:pPr>
    </w:p>
    <w:p>
      <w:pPr>
        <w:ind w:right="160"/>
        <w:spacing w:after="0" w:line="20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Antibody Secreting Cells (ASCs). </w:t>
      </w:r>
      <w:r>
        <w:rPr>
          <w:rFonts w:ascii="Times New Roman" w:cs="Times New Roman" w:eastAsia="Times New Roman" w:hAnsi="Times New Roman"/>
          <w:sz w:val="18"/>
          <w:szCs w:val="18"/>
          <w:color w:val="auto"/>
        </w:rPr>
        <w:t>In order to measure total antibody responses to HA, the numbers of circulating B cells that recognize influenza HA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peripheral blood were measured by ASC assay on days 0 and 7 after immunization. Results show that ASCs could be reliably measured on day 7 in the vaccine-treated groups. Background ASCs were generally negligible on day 0. By IgG ASC, 68% of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subjects responded, and 84% of subjects in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group responded. For the 1×10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dose vaccine treated group, an average of 21 IgA ASCs (95% CI: 7 – 35) and 73 IgG ASCs (95% CI: 35 – 111) each per 1×10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peripheral blood mononuclear cell (PBMC) were found at day 7. For the 1×10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dose vaccine treated group, an average of 16 IgA ASCs (95% CI: 2 – 29) and 44 IgG ASCs (95% CI: 21 – 66) were found at day 7. The placebo group had no responders, and negligible average number of spots (1 or less) on Day 7 (95% CI: -0.6 – -2).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advance our avian influenza program. We previously published data demonstrating protection in a preclinical model against avian influenza after oral immunization (Clin Vaccine Immunol 2013). We recently created a new avian influenza vaccine candidate to cover the latest clade 2.3.4.4b. We are in the process of conducting several preclinical studies to evaluate the new construct and preparing to manufacture it for clinical use.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intends to work with governments around the world to create pandemic monovalent influenza vaccines for emergency use or stockpiling, if requested. We are also continuing development of our preclinical seasonal influenza vaccine candidate.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HPV Therapeutic Vaccine Program</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Cervical cancer is the fourth most common cancer in women worldwide, and about 13,000 new cases are diagnosed annually in the U.S. according to the National Cervical Cancer Coalition. Studies have indicated a high lifetime probability of any HPV infection by both men and women in the U.S., with some estimates indicating at least 80% of women and men acquire HPV by age 45. The CDC estimates 80 million U.S. citizens are currently infected with HPV, representing 25% of the population, with about 14 million new infections per year.</w:t>
      </w:r>
    </w:p>
    <w:p>
      <w:pPr>
        <w:spacing w:after="0" w:line="18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women, many HPV infections of the cervix will spontaneously resolve and clear within two to three years, but women who have a persistent infection are at high risk of developing cellular abnormalities known as cervical intraepithelial neoplasia (“CIN”), which can progress to invasive cancer over time. More than 400,000 women are diagnosed with CIN annually in the U.S., with an annual incidence estimate for CIN1 and CIN2/3 at 1.6 and 1.2 per 1,000 women, respectively.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are currently no approved therapeutic vaccines to treat HPV infection or cancer. Current treatment options for women infected with HPV include monitoring CIN status, surgical procedures to remove affected tissue, and chemotherapeutic or radiation therapies to treat localized or metastatic cervical cancer. Therefore, a medical need remains for a therapeutic vaccine to treat women with HPV-associated CIN and/or cervical cancer.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HPV Therapeutic Vaccine Candidate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will need to make a regulatory filing to proceed with clinical trials for an HPV vaccine candidate. Our clinical plan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 Although clinical responses will be tracked, it is expected that the first study may not be powered to obtain statistically significant efficacy readouts.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Anti-Virals</w:t>
      </w:r>
    </w:p>
    <w:p>
      <w:pPr>
        <w:spacing w:after="0" w:line="229" w:lineRule="exact"/>
        <w:rPr>
          <w:sz w:val="20"/>
          <w:szCs w:val="20"/>
          <w:color w:val="auto"/>
        </w:rPr>
      </w:pPr>
    </w:p>
    <w:p>
      <w:pPr>
        <w:ind w:left="240" w:right="80" w:hanging="120"/>
        <w:spacing w:after="0" w:line="258" w:lineRule="auto"/>
        <w:rPr>
          <w:sz w:val="20"/>
          <w:szCs w:val="20"/>
          <w:color w:val="auto"/>
        </w:rPr>
      </w:pPr>
      <w:r>
        <w:rPr>
          <w:rFonts w:ascii="Times New Roman" w:cs="Times New Roman" w:eastAsia="Times New Roman" w:hAnsi="Times New Roman"/>
          <w:sz w:val="18"/>
          <w:szCs w:val="18"/>
          <w:color w:val="auto"/>
        </w:rPr>
        <w:t>●Through the Merger, we acquired two royalty earning products, Relenza and Inavir. We also acquired three Phase 2 clinical stage antiviral compounds, of which we have discontinued independent clinical development. However, for one of these, Vapendavir, we have entered into an exclusive worldwide license agreement with Altesa Biosciences, Inc. (“Altesa”) in July 2021, permitting Altesa to develop and commercialize this capsid-binding broad-spectrum antiviral. Altesa is conducting a double-blind, randomized, placebo-controlled trial in participants with chronic obstructive pulmonary disease to evaluate the impact of Vapendavir on the development of lower respiratory tract symptoms following rhinovirus challenge.</w:t>
      </w:r>
    </w:p>
    <w:p>
      <w:pPr>
        <w:sectPr>
          <w:pgSz w:w="11900" w:h="16838" w:orient="portrait"/>
          <w:cols w:equalWidth="0" w:num="1">
            <w:col w:w="11240"/>
          </w:cols>
          <w:pgMar w:left="320" w:top="121" w:right="339" w:bottom="0" w:gutter="0" w:footer="0" w:header="0"/>
        </w:sectPr>
      </w:pPr>
    </w:p>
    <w:bookmarkStart w:id="12" w:name="page13"/>
    <w:bookmarkEnd w:id="12"/>
    <w:p>
      <w:pPr>
        <w:ind w:left="120" w:hanging="120"/>
        <w:spacing w:after="0" w:line="277" w:lineRule="auto"/>
        <w:rPr>
          <w:sz w:val="20"/>
          <w:szCs w:val="20"/>
          <w:color w:val="auto"/>
        </w:rPr>
      </w:pPr>
      <w:r>
        <w:rPr>
          <w:rFonts w:ascii="Times New Roman" w:cs="Times New Roman" w:eastAsia="Times New Roman" w:hAnsi="Times New Roman"/>
          <w:sz w:val="17"/>
          <w:szCs w:val="17"/>
          <w:color w:val="auto"/>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and based on information provided by Daiichi Sankyo, the last patent for Inavir expires in August 2036.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40" w:top="12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Manufacturing our oral tablet vaccines consists of two main stages, the production of bulk vaccine (drug substance), and the formulation and tableting thereof (drug product). Drug substance manufacturing consists primarily of the production and purification of the active ingredient. Bulk drug substance is then lyophilized, formulated and subsequently tableted and coated using a proprietary formulation and tableting process that we developed.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Bulk Vaccine Manufacturing (Drug Substance)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inception, we relied on a combination of third-party contract manufacturers and in-house facilities to manufacture clinical cGMP bulk drug substance for our tablet vaccine candidates. Starting in 2017, we invested in developing our own bulk vaccine manufacturing process with the aim to establish a small cGMP bulk manufacturing facility at our corporate headquarters in California for manufacturing cGMP product for our Phase 1 and small Phase 2</w:t>
      </w:r>
    </w:p>
    <w:p>
      <w:pPr>
        <w:spacing w:after="0" w:line="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trials. We expanded in November 2021 by subleasing another GMP manufacturing facility which we use to perform the same bulk manufacturing processes in-house.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Vaccine Tablet Manufacturing (Drug Product)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inception we contracted with third-party contract manufacturers for the manufacture, labeling, packaging, storage, and distribution of our drug product. In 2016, we established drug product manufacturing capabilities at our corporate headquarters. Our facility is licensed by the State of California Department of Public Health Food and Drug Branch to manufacture drug product for clinical trials. We have also built a new GMP facility in California for tableting, coating and packaging of our vaccine candidates.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limited experience with process development, and the manufacture, testing, quality release, storage and distribution of drug substance and drug product according to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facilities, and our third-party manufacturers, are subject to periodic inspections by FDA and local authorities, which include, but are not limited to procedures and operations used in the testing and manufacture of our vaccine candidates to assess our compliance with applicable regulations. If we or our third-part manufacturers fail to comply with statutory and regulatory requirements we and they could be subject to possible legal or regulatory action, including warning letters, the seizure or recall of products, injunctions, consent decrees placing significant restrictions on or suspending manufacturing operations and civil and criminal penalties. These actions could have a material adverse impact on the availability of our tablet vaccine candidates. Similar to contract manufacturers, we have in the past encountered difficulties involving production yields, quality control and quality assurance, and if we are not able to produce drug product or drug substance in sufficient quantities our ability to conduct our clinical trials and commercialize our tablet vaccine candidates, if approved, will be impaired.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third parties, such as clinical research organizations, medical institutions, clinical investigators and contract laboratories, to conduct our clinical trials and aspects of our research and preclinical testing. These third parties provide project management and monitoring services and regulatory consulting and investigative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pharmaceutical and vaccine industries are characterized by intense competition to develop new technologies and proprietary products. In general, competition among pharmaceutical products is based in part on product efficacy, safety, reliability, availability, price and patent position.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we believe that our proprietary tablet vaccine candidates provide competitive advantages, we face competition from many different sources, including biotechnology and pharmaceutical companies, and we may also face competition from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can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face competition from smaller companies who, like us, rely on investors to fund research and development and compete for co-development and licensing opportunities from large and established pharmaceutical companies. We may also face significant competition in pursuing partnership opportunities and strategic acquisitions from other companies, financial investors and enterprises whose cost of capital may be lower than ours. Competition for future partnerships or asset acquisition opportunities in our markets is intense and we may be forced to increase the price we pay for such assets.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depend upon our ability to attract and retain qualified personnel, obtain patent protection or otherwise develop proprietary products or processes and secure sufficient capital resources for the development and commercialization of our products.</w:t>
      </w:r>
    </w:p>
    <w:p>
      <w:pPr>
        <w:sectPr>
          <w:pgSz w:w="11900" w:h="16838" w:orient="portrait"/>
          <w:cols w:equalWidth="0" w:num="1">
            <w:col w:w="11220"/>
          </w:cols>
          <w:pgMar w:left="320" w:top="121" w:right="3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Norovirus Vaccine Candidate</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Currently there are no approved norovirus vaccines. We are aware that HilleVax, Inc. and Moderna, Inc. are developing norovirus vaccines that would be delivered by injection. Another company developing a norovirus vaccine candidate is Anhui Zhifei Longcom Biopharmaceutical Co. Ltd. There may be other development programs that we are not aware 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Vaccine Candidate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Influenza Vaccine Candidate</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our seasonal influenza vaccine candidate would compete directly with approved vaccines in the market, which include non-recombinant and recombinant products that are administered via injection or intranasally. Major players include Astrazeneca Plc, CSL Limited, Emergent BioSolutions, F. Hoffmann-La Roche Ltd., GSK, Merck &amp; Co., Inc., Novartis Ag, Pfizer, Inc., Sanofi, and Sinovac Biotech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HPV Therapeutic Vaccine Candidate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is currently no approved HPV therapeutic vaccine for sale globally; however, a number of vaccine manufacturers, academic institutions and other organizations currently have, or have had, programs to develop such a vaccine. We believe that several companies are in various stages of developing an HPV therapeutic vaccine including Inovio Pharmaceuticals, Inc. (“Inovio”), Genexine, and several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Inavir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anti influenza antivirals are marketed in Japan, including Tamiflu and Relenza. On February 23, 2018, Osaka-based drug maker Shionogi gained marketing approval for Xofluza, a new drug to treat influenza in Japan. The drug was approved for use against type A and B influenza viruses and requires only a single dose regardless of age. Since its launch, Xofluza has gained significant market share from Inavir in Japan, substantially reducing the sales of Inavir in Japan by Daiichi Sankyo. This has had a significant negative impact on the royalty payments we have received from Daiichi Sankyo and may continue to have a significant negative impact on our future royalty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our proprietary technology, inventions and improvements that are commercially important to our business by seeking, maintaining, and defending patent rights. We also rely on trade secrets relating to our platform and on know-how, continuing technological innovation to develop, strengthen and maintain our proprietary position in the vaccine field. In addition, we rely on regulatory protection afforded through data exclusivity, market exclusivity and patent term extensions where available. We also utilize trademark protection for our company name and expect to do so for products and/or services as they are marketed.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tablet vaccine candidates may depend on the extent to which we have rights under valid and enforceable patents or trade secrets that cover these activities. With respect to company-owned intellectual property, we cannot be sure that patents will be granted with respect to any of our pending patent applications or with respect to any patent applications we may file in the future, nor can we be sure that any of our existing patents or any patents that may be granted to us in the future will be commercially useful in protecting our commercial products and methods of manufacturing the same.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developed numerous patents and patent applications and own substantial know-how and trade secrets related to our platform and tablet vaccine candidates.</w:t>
      </w:r>
    </w:p>
    <w:p>
      <w:pPr>
        <w:spacing w:after="0" w:line="158" w:lineRule="exact"/>
        <w:rPr>
          <w:sz w:val="20"/>
          <w:szCs w:val="20"/>
          <w:color w:val="auto"/>
        </w:rPr>
      </w:pPr>
    </w:p>
    <w:p>
      <w:pPr>
        <w:jc w:val="both"/>
        <w:ind w:left="660" w:hanging="328"/>
        <w:spacing w:after="0" w:line="274"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Vaccine Platform Technology</w:t>
      </w:r>
      <w:r>
        <w:rPr>
          <w:rFonts w:ascii="Times New Roman" w:cs="Times New Roman" w:eastAsia="Times New Roman" w:hAnsi="Times New Roman"/>
          <w:sz w:val="17"/>
          <w:szCs w:val="17"/>
          <w:color w:val="auto"/>
        </w:rPr>
        <w:t>. As of December 31, 2024, we held three U.S. patents with claims relating to our platform technology. Two of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patents include claims related to our seasonal influenza vaccine candidate. These patents will expire in 2027, or later if patent term extension applies. As of December 31, 2024, we held more than 45 issued foreign patents related to our platform technology and/or our vaccine candidates.</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patents will expire in 2027, or later if patent term extension applies.</w:t>
      </w:r>
    </w:p>
    <w:p>
      <w:pPr>
        <w:spacing w:after="0" w:line="202" w:lineRule="exact"/>
        <w:rPr>
          <w:rFonts w:ascii="Times New Roman" w:cs="Times New Roman" w:eastAsia="Times New Roman" w:hAnsi="Times New Roman"/>
          <w:sz w:val="17"/>
          <w:szCs w:val="17"/>
          <w:color w:val="auto"/>
        </w:rPr>
      </w:pPr>
    </w:p>
    <w:p>
      <w:pPr>
        <w:ind w:left="660" w:right="10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Tablet Vaccine Formulation</w:t>
      </w:r>
      <w:r>
        <w:rPr>
          <w:rFonts w:ascii="Times New Roman" w:cs="Times New Roman" w:eastAsia="Times New Roman" w:hAnsi="Times New Roman"/>
          <w:sz w:val="18"/>
          <w:szCs w:val="18"/>
          <w:color w:val="auto"/>
        </w:rPr>
        <w:t>. We own considerable know-how and as of December 31, 2024, held over 25 foreign patents, including in a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E.U. countries, Canada, Japan, China, South Korea, Singapore, Australia, Russia, Israel, Indonesia, Vietnam, and South Africa. We also have one application pending in the U.S. and Europe. Patents issuing from these applications will expire in 2035,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COVID-19 Vaccine Candidate</w:t>
      </w:r>
      <w:r>
        <w:rPr>
          <w:rFonts w:ascii="Times New Roman" w:cs="Times New Roman" w:eastAsia="Times New Roman" w:hAnsi="Times New Roman"/>
          <w:sz w:val="18"/>
          <w:szCs w:val="18"/>
          <w:color w:val="auto"/>
        </w:rPr>
        <w:t>. As of December 31, 2024, we have filed provisional applications in the U.S. and have pending applications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EPO, Australia, Canada, China, Japan, South Korea, India and South Africa relating to our COVID-19 vaccine candidate. Any patents issuing from these pending applications will expire in 2041/2042, or later if patent term extension applies.</w:t>
      </w:r>
    </w:p>
    <w:p>
      <w:pPr>
        <w:spacing w:after="0" w:line="17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Norovirus Vaccine Tablet Candidates</w:t>
      </w:r>
      <w:r>
        <w:rPr>
          <w:rFonts w:ascii="Times New Roman" w:cs="Times New Roman" w:eastAsia="Times New Roman" w:hAnsi="Times New Roman"/>
          <w:sz w:val="18"/>
          <w:szCs w:val="18"/>
          <w:color w:val="auto"/>
        </w:rPr>
        <w:t>. As of December 31, 2024, we held two U.S. patents, 18 patents in foreign countries including a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countries, Australia, Japan, South Korea, and South Africa, and have pending applications in the U.S., China, Canada, the EPO, the Eurasia Patent Organization, and New Zealand. Any patents issuing from these applications will expire in 2036, or later if patent term extension applies.</w:t>
      </w:r>
    </w:p>
    <w:p>
      <w:pPr>
        <w:spacing w:after="0" w:line="17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Influenza Vaccine Candidates</w:t>
      </w:r>
      <w:r>
        <w:rPr>
          <w:rFonts w:ascii="Times New Roman" w:cs="Times New Roman" w:eastAsia="Times New Roman" w:hAnsi="Times New Roman"/>
          <w:sz w:val="18"/>
          <w:szCs w:val="18"/>
          <w:color w:val="auto"/>
        </w:rPr>
        <w:t>. We have been issued 13 foreign patents as of December 31, 2024 relating to our current H1N1 influenza vaccine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 These patents will expire in 2030, or later if patent term extension applies.</w:t>
      </w:r>
    </w:p>
    <w:p>
      <w:pPr>
        <w:spacing w:after="0" w:line="3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provisional applications relating to improved adenoviral vectors and antibodies to norovirus antigens have been filed.</w:t>
      </w:r>
    </w:p>
    <w:p>
      <w:pPr>
        <w:sectPr>
          <w:pgSz w:w="11900" w:h="16838" w:orient="portrait"/>
          <w:cols w:equalWidth="0" w:num="1">
            <w:col w:w="11220"/>
          </w:cols>
          <w:pgMar w:left="320" w:top="121" w:right="359" w:bottom="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right="240" w:hanging="328"/>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Inavir</w:t>
      </w:r>
      <w:r>
        <w:rPr>
          <w:rFonts w:ascii="Times New Roman" w:cs="Times New Roman" w:eastAsia="Times New Roman" w:hAnsi="Times New Roman"/>
          <w:sz w:val="18"/>
          <w:szCs w:val="18"/>
          <w:color w:val="auto"/>
        </w:rPr>
        <w:t>. As of December 31, 2024, we own Japanese patents related to Inavir, which is exclusively licensed to Daiichi Sankyo.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provided by Daiichi Sankyo, the last patent related to Inavir in Japan is set to expire in August 2036, at which time royalty revenue will cease. However, the patent covering the laninamivir octanoate compound expired in 2024, at which time generic competition may enter the market, potentially decreasing or eliminating the royalties received.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In the U.S., a patent’s term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we expect to apply for patent term extensions for patents covering our vaccine candidates and their methods of 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in some circumstances, on trade secrets to protect our technology.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procedures,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Federal, state and local government authorities in the U.S.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we are developing. Our vaccine candidates must be approved by the FDA before they may be legally marketed in the U.S. and by the appropriate foreign regulatory agency before they may be legally marketed in foreign countries. Generally, our activities in other countries will be subject to regulation that is similar in nature and scope as that imposed in the U.S., even though it may differ in certain respects. The process for obtaining regulatory marketing approvals and the subsequent compliance with appropriate federal, state, local and foreign statutes and regulations require the expenditure of substantial time and financial resources. The rules and regulations that apply to our business are subject to change and it is difficult to foresee whether, how, or when such changes may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Development Process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U.S. generally involves the following:</w:t>
      </w:r>
    </w:p>
    <w:p>
      <w:pPr>
        <w:spacing w:after="0" w:line="188" w:lineRule="exact"/>
        <w:rPr>
          <w:sz w:val="20"/>
          <w:szCs w:val="20"/>
          <w:color w:val="auto"/>
        </w:rPr>
      </w:pPr>
    </w:p>
    <w:p>
      <w:pPr>
        <w:ind w:left="660" w:right="3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GLPs,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52"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biological product for its intended use;</w:t>
      </w:r>
    </w:p>
    <w:p>
      <w:pPr>
        <w:spacing w:after="0" w:line="175"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 Biologics License Application (“BLA”) for marketing approval that meets applicable requirements to ensure the continued safety, purity, and potency of the product that is the subject of the BLA based on results of nonclinical testing and clinical trials;</w:t>
      </w:r>
    </w:p>
    <w:p>
      <w:pPr>
        <w:spacing w:after="0" w:line="139" w:lineRule="exact"/>
        <w:rPr>
          <w:rFonts w:ascii="Times New Roman" w:cs="Times New Roman" w:eastAsia="Times New Roman" w:hAnsi="Times New Roman"/>
          <w:sz w:val="17"/>
          <w:szCs w:val="17"/>
          <w:color w:val="auto"/>
        </w:rPr>
      </w:pPr>
    </w:p>
    <w:p>
      <w:pPr>
        <w:ind w:left="660" w:right="4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5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Before testing any biological vaccine candidate, including our tablet vaccine candidates, in humans, the vaccine candidate enters the preclinical testing stage. Preclinical tests, also referred to as nonclinical studies, include laboratory evaluations of product chemistry, toxicity and formulation, as well as toxicological and pharmacological studies in animal species, to assess the potential safety and activity of the vaccine candidate. The conduct of the preclinical tests must comply with federal regulations and requirements including GLPs for certain animal studies and the Animal Welfare Act, which is enforced by the Department of Agriculture.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Any person or entity sponsoring clinical trials in the U.S. to evaluate a product candidate’s safety and effectiveness must submit to the FDA, prior to commencing such trials, an IND application, which provides a basis for the FDA to conclude that there is an adequate basis for testing the product in humans.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are subject to extensive regulation. Clinical trials must be conducted and monitored in accordance with the FDA’s bioresearch monitoring regulations and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Foreign studies conducted under an IND must meet the same requirements applicable to studies conducted in the U.S. However, if a foreign study is not conducted under an IND, the data may still be submitted to the FDA in support of a product application, if the study was conducted in accordance with GCP and the FDA is able to validate the data.</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05" w:lineRule="exact"/>
        <w:rPr>
          <w:sz w:val="20"/>
          <w:szCs w:val="20"/>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biological product is initially introduced into a small number of healthy human subjects and tested for safety and to develop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profiles of its pharmacological and 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subjects.</w:t>
      </w:r>
    </w:p>
    <w:p>
      <w:pPr>
        <w:spacing w:after="0" w:line="179" w:lineRule="exact"/>
        <w:rPr>
          <w:rFonts w:ascii="Times New Roman" w:cs="Times New Roman" w:eastAsia="Times New Roman" w:hAnsi="Times New Roman"/>
          <w:sz w:val="18"/>
          <w:szCs w:val="18"/>
          <w:color w:val="auto"/>
        </w:rPr>
      </w:pPr>
    </w:p>
    <w:p>
      <w:pPr>
        <w:ind w:left="660" w:right="240" w:hanging="328"/>
        <w:spacing w:after="0" w:line="315"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The biological product is evaluated in a limited patient population to identify possible adverse effects and safety risks, to preliminarily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 the efficacy of the product for specific targeted diseases and to determine dosage tolerance, optimal dosage and dosing schedule.</w:t>
      </w:r>
    </w:p>
    <w:p>
      <w:pPr>
        <w:spacing w:after="0" w:line="134" w:lineRule="exact"/>
        <w:rPr>
          <w:rFonts w:ascii="Times New Roman" w:cs="Times New Roman" w:eastAsia="Times New Roman" w:hAnsi="Times New Roman"/>
          <w:sz w:val="17"/>
          <w:szCs w:val="17"/>
          <w:color w:val="auto"/>
        </w:rPr>
      </w:pPr>
    </w:p>
    <w:p>
      <w:pPr>
        <w:ind w:left="660" w:right="3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 to benefit profile of the product and provide an adequate basis for product labeling. Phase 3 data often form the core basis on which the FDA evaluates a product candidate’s safety and effectiveness when considering the product application.</w:t>
      </w:r>
    </w:p>
    <w:p>
      <w:pPr>
        <w:spacing w:after="0" w:line="18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ectPr>
          <w:pgSz w:w="11900" w:h="16838" w:orient="portrait"/>
          <w:cols w:equalWidth="0" w:num="1">
            <w:col w:w="11240"/>
          </w:cols>
          <w:pgMar w:left="320" w:top="121"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FDA performance goals generally provide for action on a BLA within 12 months of submission. That deadline can be extended under certain circumstances, including by the FDA’s requests for additional information.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The complete response letter may also request additional information, including additional preclinical or clinical data, for the FDA to reconsider the application. If a complete response letter is issued, the applicant may either resubmit the BLA, addressing all of the deficiencies identified in the letter, or withdraw the application.</w:t>
      </w:r>
    </w:p>
    <w:p>
      <w:pPr>
        <w:spacing w:after="0" w:line="1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Obtaining approval can take years, requires substantial resources and depends on a number of factors, including the severity of the targeted disease or condition, the availability of alternative treatments, and the risks and benefits demonstrated in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 If ongoing regulatory requirements are not met, or if safety problems occur after a product reaches market, the FDA may take actions to change the conditions under which the product is marketed, including limiting, suspending or even withdrawing approval.</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tablet vaccine candidates under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U.S., our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(“FCA”), as discussed below.</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federal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ectPr>
          <w:pgSz w:w="11900" w:h="16838" w:orient="portrait"/>
          <w:cols w:equalWidth="0" w:num="1">
            <w:col w:w="11240"/>
          </w:cols>
          <w:pgMar w:left="320" w:top="121" w:right="339" w:bottom="825"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HITECH Act,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spacing w:after="0" w:line="1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In order to distribute products commercially, we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7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tablet vaccine candidates for which we obtain regulatory approval. In the U.S. and markets in other countries,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tablet vaccine candidates, in addition to the costs required to obtain the FDA approvals. Our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marketability of any tablet vaccine candidates for which it receives regulatory approval for commercial sale may suffer if the government and third-party payors fail to provide adequate coverage and reimbursement. In addition, emphasis on managed care in the U.S. has increased and we expect the pressure on healthcare pricing will continue to increase.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ectPr>
          <w:pgSz w:w="11900" w:h="16838" w:orient="portrait"/>
          <w:cols w:equalWidth="0" w:num="1">
            <w:col w:w="11240"/>
          </w:cols>
          <w:pgMar w:left="320" w:top="121"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current and future U.S. legislative healthcare reforms may result in additional downward pressure on the price that we receive for any approved product, if covered,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tablet vaccine candidates. In addition, it is possible that there will be further legislation or regulation that could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Privacy and Security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federal and state laws and regulations that regulate the use, security, and disclosure of certain types of personal data. These include the federal regulations promulgated under the authority of the Health Insurance Portability and Accountability Act of 1996 (“HIPAA”) that require us to provide certain protections to individuals regarding their health information. The HIPAA privacy and security regulations extensively regulate the use and disclosure of protected health information (“PHI”) and require covered entities, which include healthcare providers and health plans, and their business associates to implement and maintain administrative, physical, and technical safeguards to protect the security of such information. Additional security requirements apply to electronic PHI. These regulations also provide individuals with substantive rights with respect to their health information.</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HIPAA privacy and security regulations also require us to enter into written agreements with our covered entity customers and our subcontractors, also known as business associates, to whom we disclose PHI. Covered entities may be subject to penalties as a result of a business associate violating HIPAA, if the business associate is found to be an agent of the covered entity. Business associates are also directly subject to liability under certain HIPAA privacy and security regulations and may be found liable for the violations of their agents.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HIPAA requires covered entities to notify affected individuals of breaches of unsecured PHI without unreasonable delay but no later than 60 days after discovery of the breach. If a business associate is acting as an agent of a covered entity, then the covered entity must provide the required notifications to individuals based on the time when the business associate discovered the breach. Reporting must also be made to the HHS Office for Civil Rights (“OCR”) and, for breaches of unsecured PHI involving more than 500 residents of a state or jurisdiction, to the media.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and the state regulators in the event of a data breach involving personal information without regard to the probability of the information being compromised. State laws and standard practice often provide for shorter data breach reporting timelines than required by HIPAA.</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Violations of the HIPAA privacy and security regulations may result in criminal penalties and in substantial civil penalties per violation. The civil penalties are adjusted annually based on updates to the consumer price index. OCR is required to perform compliance audits and investigates HIPAA compliance in response to complaints and reports of breaches. In addition to enforcement by OCR, state attorneys general are authorized to bring civil actions seeking either injunction or damages in response to violations of HIPAA privacy and security regulations that threaten the privacy of state residents. OCR may resolve HIPAA violations through informal means, such as allowing a covered entity to implement a corrective action plan, but OCR has the discretion to move directly to impose monetary penalties and is required to impose penalties for violations resulting from willful neglect. There can be no assurance that we will not be the subject of an investigation (arising out of a reportable breach incident, audit or otherwise) alleging noncompliance with HIPAA regulations in our maintenance of PHI.</w:t>
      </w:r>
    </w:p>
    <w:p>
      <w:pPr>
        <w:spacing w:after="0" w:line="1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The Federal Trade Commission Act (“FTCA”) also empowers the Federal Trade Commission to implement rules and regulations protecting personal information, and to take enforcement action when data practices constitute unfair or deceptive acts or practices. The FTC regularly takes enforcement action and has emphasized the protection of medical and other health care information as an enforcement priority. Following the United Stated Supreme Court’s Dobbs decision and state laws that may criminalize certain health care procedures, types of personal information not traditionally thought of as health-related now may reveal personal information about health care decisions, heightening governmental scrutiny of data privacy practices.</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HIPAA and the FTCA, numerous state and federal laws and regulations govern the collection, dissemination, use, privacy, confidentiality, security, availability, integrity, creation, receipt, transmission, storage, and other processing of medical. health care, employment, consumer, and other personal information. Privacy and data security statutes and regulations vary from state to state, and these laws and regulations in many cases are more restrictive than, and generally are not preempted by, the FTCA and HIPAA and their implementing rules. These laws and regulations regulate how personal information is used, sold, and shared; grant individuals substantive rights regarding their data that data processers are obligated to honor; impose rigorous information security and data breach obligations; and in some instances provide private rights of action to individuals affected by alleged violations of the laws in addition to the costs and liabilities arising from government enforcement.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may be subject to international data protection regulations related to the collection, transmission, storage and use of employee data. For example, the General Data Protection Regulation (“GDPR”), which became effective on May 25, 2018, imposes strict compliance obligations on the collection, use, retention, security, processing, transfer and deletion of personal information and creates enhanced rights for individuals, including requirements relating to processing health and other sensitive data, obtaining consent of the individuals to whom the information relates in certain circumstances,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U.S. and the United Kingdom.</w:t>
      </w:r>
    </w:p>
    <w:p>
      <w:pPr>
        <w:sectPr>
          <w:pgSz w:w="11900" w:h="16838" w:orient="portrait"/>
          <w:cols w:equalWidth="0" w:num="1">
            <w:col w:w="11240"/>
          </w:cols>
          <w:pgMar w:left="320" w:top="121" w:right="339" w:bottom="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Entities that fail to comply with the requirements of the GDPR may be subject to very significant penalties, including potential fines of up to the greater of €20 million or 4% of annual global revenue.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Government regulators, privacy advocates and class action attorneys are also increasingly scrutinizing how companies collect, process, use, store, share and transmit other types of personal data. For example, the California Consumer Privacy Act of 2018 (“CCPA”), which went into effect on January 1, 2020, and was significantly modified by the California Privacy Rights Act (“CPRA”), which became fully effective on January 1, 2023, applies broadly to information that identifies or is associated with any California household or individual, and requires that we implement several operational changes, including processes to respond to individuals’ requests regarding their personal information. The CPRA also creates a new enforcement agency to enforce the CCPA and CPRA and imposes additional requirements, including privacy risk assessments, audits and vendor contractual requirements for data sharing, license and access arrangements. The CCPA and CPRA provide for civil penalties for violations and allow private rights of action for data breaches. Virginia, Colorado, Connecticut and Utah have also passed comprehensive privacy legislation that take effect during 2023, and several other states, as well as federal lawmakers, have proposed additional consumer privacy legislation. The complex, dynamic legal landscape regarding privacy, data protection and information security creates significant compliance challenges for us, potentially restricts our ability to collect, use and disclose data, and exposes us to additional expense, and, if we cannot comply with applicable laws in a timely manner or at all, adverse publicity, harm to our reputation, and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Greenhouse Gas Emission Related Policies, Regulation, and Legislation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In August 2022, the U.S. passed the Inflation Reduction Act (“IRA”), which consists of a number of provisions aimed directly at confronting the climate change crisis. The climate-related provisions of the IRA are projected to cut emissions by up to 40% from 2005 GHG levels in the U.S. by 2030. Among other things, the IRA introduces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 It is unknown what form any future changes or any law would take under the incoming Trump administration, and how or whether it may affect our business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management and scientific teams possess considerable experience in vaccine and anti-infective research, clinical development and regulatory matters. Our research and development team includes Ph.D.-level scientists with expertise in mucosal immunology, T cells, viral vectors and virology. General and administrative includes finance, human resources, administration, business and general management. For the year ended December 31, 2024, our full-time employee rollforward, excluding interns, was as follows: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Research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General and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Joined</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3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9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had 10 full-time equivalent contractors as of December 31, 2024.</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do not have collective bargaining agreements with our employees and have not experienced any work stoppages. We consider our relations with our employees to be good.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training, retaining, and incentivizing our existing and new employees. We maintain an equity incentive plan, the principal purpose of which is to attract, retain and reward personnel through the granting of stock-based compensation awards, in order to increase stockholder value and the success of our company by motivating such individuals to perform to the best of their abilities and achieve our objectives. We offer an employee stock purchase plan, the principal purpose of which is to assist employees in acquiring a share ownership interest in Vaxart and to help such employees provide for their future security and to encourage them to remain in the employment of Vaxart. To facilitate talent attraction and retention, we strive to make Vaxart a safe and rewarding workplace, with opportunities for our employees to grow and develop in their careers, supported by competitive compensation, benefits and health and wellness programs, and by programs that build connections between our employees.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Annual Report, including our consolidated financial statements and the related notes and “Management’s Discussion and Analysis of Financial Condition and Results of Operations”, as well as our other public filings. The occurrence of any of the following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when evaluating our business.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some of which are beyond our control. This discussion highlights some of the risks that may affect future operating results. These are the risks and uncertainties we believe are most important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operations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discussed in more detail in the following section. These risks include, among others, the following key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Financial Position and Capital Requirements</w:t>
      </w:r>
    </w:p>
    <w:p>
      <w:pPr>
        <w:spacing w:after="0" w:line="2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our operating history, we have generated limited product revenue.</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expect to continue to incur significant losses for the foreseeable future and may never achieve or maintain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largely dependent on the success of our tablet vaccine candidates for the prevention of norovirus and coronavirus infection.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produced a commercially viable vaccine and we may be never able 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our organization and may experience difficulties in managing growth.</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by a pandemic, epidemic, or outbreak of an infectious disease, such as the ongoing coronavirus pandemic and the emergence of additional variants.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Clinical Development, Regulatory Approval and Commercialization</w:t>
      </w:r>
    </w:p>
    <w:p>
      <w:pPr>
        <w:spacing w:after="0" w:line="227" w:lineRule="exact"/>
        <w:rPr>
          <w:sz w:val="20"/>
          <w:szCs w:val="20"/>
          <w:color w:val="auto"/>
        </w:rPr>
      </w:pPr>
    </w:p>
    <w:p>
      <w:pPr>
        <w:ind w:left="660" w:right="2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coronavirus vaccines is evolving, as is the random appearance of novel variants, which may result in unexpected or unforeseen challenges.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difficult to design and implement and involve an uncertain outcome.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tablet vaccine candidates may cause adverse effects resulting in failure to obtain approval from the U.S. Food and Drug Administration (the “FDA”) and/or product liability lawsuits against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sufficient bulk vaccine for our ongoing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 parties for manufacturing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numerous risks associated with our intellectual property.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Dependence on Third Parties</w:t>
      </w:r>
    </w:p>
    <w:p>
      <w:pPr>
        <w:spacing w:after="0" w:line="227" w:lineRule="exact"/>
        <w:rPr>
          <w:sz w:val="20"/>
          <w:szCs w:val="20"/>
          <w:color w:val="auto"/>
        </w:rPr>
      </w:pPr>
    </w:p>
    <w:p>
      <w:pPr>
        <w:ind w:left="660" w:right="4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could delay or prevent the development, approval, manufacturing, or any eventual commercialization of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manufacturers for certain portions of our manufacturing process. If third-party contract manufacturers do not perform,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227" w:lineRule="exact"/>
        <w:rPr>
          <w:sz w:val="20"/>
          <w:szCs w:val="20"/>
          <w:color w:val="auto"/>
        </w:rPr>
      </w:pPr>
    </w:p>
    <w:p>
      <w:pPr>
        <w:ind w:left="660" w:right="2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the patents of our licensors or our other intellectual property rights, which could be expensive, time consuming and unsuccessful.</w:t>
      </w:r>
    </w:p>
    <w:p>
      <w:pPr>
        <w:sectPr>
          <w:pgSz w:w="11900" w:h="16838" w:orient="portrait"/>
          <w:cols w:equalWidth="0" w:num="1">
            <w:col w:w="11220"/>
          </w:cols>
          <w:pgMar w:left="320" w:top="121" w:right="359" w:bottom="0" w:gutter="0" w:footer="0" w:header="0"/>
        </w:sectPr>
      </w:pPr>
    </w:p>
    <w:bookmarkStart w:id="27" w:name="page28"/>
    <w:bookmarkEnd w:id="27"/>
    <w:p>
      <w:pPr>
        <w:ind w:left="328" w:right="440"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61"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 which could impair our business.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requires us to share our trade secrets, which increases the possibility that a competitor will discover them or that our trade secrets will be misappropriated or disclosed.</w:t>
      </w:r>
    </w:p>
    <w:p>
      <w:pPr>
        <w:spacing w:after="0" w:line="162"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8"/>
          </w:cols>
          <w:pgMar w:left="652" w:top="121" w:right="49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Throughout our operating history, we have generated limited product revenue.</w:t>
      </w:r>
    </w:p>
    <w:p>
      <w:pPr>
        <w:spacing w:after="0" w:line="2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Even though we generate royalty revenue from Inavir, our commercialized influenza product, we are at an early stage in our clinical development process and have not yet successfully completed a large-scale, pivotal clinical trial, obtained marketing approval, manufactured our tablet vaccine candidates at commercial scale, or conducted sales and marketing activities that will be necessary to successfully commercialize our product candidates. Consequently, predictions about our future success or viability may not be as accurate as they could be if we had a history of successfully developing and commercializing product candidates.</w:t>
      </w:r>
    </w:p>
    <w:p>
      <w:pPr>
        <w:spacing w:after="0" w:line="183"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Our ability to generate significant revenue and achieve and maintain profitability will depend upon our ability to successfully complete the development of our tablet vaccine candidates for the prevention of norovirus, coronavirus and influenza infection and the treatment of cervical cancer and dysplasia caused by human papillomavirus (“HPV”) and other infectious diseases, and to obtain the necessary regulatory approvals. As disclosed elsewhere in this document, the Company is evaluating the best way to progress certain programs.</w:t>
      </w:r>
    </w:p>
    <w:p>
      <w:pPr>
        <w:spacing w:after="0" w:line="180"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Even if we receive regulatory approval for the sale of any of our product candidates, we do not know when we will begin to generate significant revenue, if at all. Our ability to generate significant revenue depends on a number of factors, including our ability to:</w:t>
      </w:r>
    </w:p>
    <w:p>
      <w:pPr>
        <w:spacing w:after="0" w:line="162" w:lineRule="exact"/>
        <w:rPr>
          <w:sz w:val="20"/>
          <w:szCs w:val="20"/>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 acceptable price for our product candidates and obtain coverage and adequate reimbursement from third-party payors;</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on our products and product candidates including in connection with sales of Inavir;</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manufacturing and distribution systems;</w:t>
      </w:r>
    </w:p>
    <w:p>
      <w:pPr>
        <w:spacing w:after="0" w:line="252"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continue to scale our operational, financial and management information systems and personnel, including personnel to support our clinical, manufacturing and planned future clinical development and commercialization efforts;</w:t>
      </w:r>
    </w:p>
    <w:p>
      <w:pPr>
        <w:spacing w:after="0" w:line="161" w:lineRule="exact"/>
        <w:rPr>
          <w:rFonts w:ascii="Times New Roman" w:cs="Times New Roman" w:eastAsia="Times New Roman" w:hAnsi="Times New Roman"/>
          <w:sz w:val="18"/>
          <w:szCs w:val="18"/>
          <w:color w:val="auto"/>
        </w:rPr>
      </w:pPr>
    </w:p>
    <w:p>
      <w:pPr>
        <w:ind w:left="680" w:right="660" w:hanging="328"/>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 collaboration with others, manufacturing capabilities for bulk materials and manufacture commercial quantities of our product candidates at acceptable cost levels;</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broad market acceptance of our product candidates in the medical community and with third-party payors and consumers;</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management and advisory team;</w:t>
      </w:r>
    </w:p>
    <w:p>
      <w:pPr>
        <w:spacing w:after="0" w:line="252"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252" w:lineRule="exact"/>
        <w:rPr>
          <w:rFonts w:ascii="Times New Roman" w:cs="Times New Roman" w:eastAsia="Times New Roman" w:hAnsi="Times New Roman"/>
          <w:sz w:val="18"/>
          <w:szCs w:val="18"/>
          <w:color w:val="auto"/>
        </w:rPr>
      </w:pPr>
    </w:p>
    <w:p>
      <w:pPr>
        <w:ind w:left="680" w:right="1220" w:hanging="328"/>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in-license or acquire product candidates or commercial-stage products that we believe can be successfully developed and commercialized; and</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vaccine development and manufacturing, we are unable to predict the timing or amount of increased development expenses, or when we will be able to achieve or maintain profitability, if at all. Our expenses could increase beyond expectations if we are required by the FDA, or comparable non-U.S. regulatory authorities, to perform studies or clinical trials in addition to those we currently anticipate. Even if our product candidates are approved for commercial sale, we anticipate incurring significant costs associated with the commercial launch of and the related commercial-scale manufacturing requirements for our product candidates. If we cannot successfully execute on any of the factors listed above, our business may not succeed.</w:t>
      </w:r>
    </w:p>
    <w:p>
      <w:pPr>
        <w:spacing w:after="0" w:line="183" w:lineRule="exact"/>
        <w:rPr>
          <w:sz w:val="20"/>
          <w:szCs w:val="20"/>
          <w:color w:val="auto"/>
        </w:rPr>
      </w:pPr>
    </w:p>
    <w:p>
      <w:pPr>
        <w:ind w:left="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expect to continue to incur significant losses for the foreseeable future and may never achieve or maintain profitability.</w:t>
      </w:r>
    </w:p>
    <w:p>
      <w:pPr>
        <w:spacing w:after="0" w:line="159"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We expect to continue to incur substantial and increasing losses as we continue to pursue our business strategy. Our product candidates have not been approved for marketing in the U.S. and may never receive such approval. As a result, we are uncertain when or if we will achieve profitability and, if so, whether we will be able to sustain it. Our ability to generate significant revenue and achieve profitability is dependent on our ability to complete development, obtain necessary regulatory approvals, and have our product candidates manufactured and successfully marketed. We cannot be sure that we will be profitable even if we successfully commercialize one of our product candidates. If we do successfully obtain regulatory approval to market our tablet vaccine candidates, our revenues will be dependent, in part, upon the size of the markets in the territories for which regulatory approval is received, the number of competitors in such markets, the price at which we can offer our product candidates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our product candidates, even if approved. Even if we do achieve profitability, we may not be able to sustain or increase profitability on a quarterly or annual basis. If we fail to become and remain profitable, the market price of our common stock and our ability to raise capital and continue operations will be adversely affected.</w:t>
      </w:r>
    </w:p>
    <w:p>
      <w:pPr>
        <w:spacing w:after="0" w:line="192" w:lineRule="exact"/>
        <w:rPr>
          <w:sz w:val="20"/>
          <w:szCs w:val="20"/>
          <w:color w:val="auto"/>
        </w:rPr>
      </w:pPr>
    </w:p>
    <w:p>
      <w:pPr>
        <w:ind w:left="20" w:right="160"/>
        <w:spacing w:after="0" w:line="256" w:lineRule="auto"/>
        <w:rPr>
          <w:sz w:val="20"/>
          <w:szCs w:val="20"/>
          <w:color w:val="auto"/>
        </w:rPr>
      </w:pPr>
      <w:r>
        <w:rPr>
          <w:rFonts w:ascii="Times New Roman" w:cs="Times New Roman" w:eastAsia="Times New Roman" w:hAnsi="Times New Roman"/>
          <w:sz w:val="18"/>
          <w:szCs w:val="18"/>
          <w:color w:val="auto"/>
        </w:rPr>
        <w:t>We expect overall research and development expenses to increase significantly for any of our tablet vaccines, including those for the prevention of norovirus, coronavirus and influenza, as well as those for the treatment of HPV-related dysplasia and cancer, although we intend to fund a significant portion of these costs through partnering and collaboration agreements. In addition, even if we obtain regulatory approval, significant sales and marketing expenses will be required to commercialize the tablet vaccine candidates. As a result, we expect to continue to incur significant and increasing operating losses and negative cash flows for the foreseeable future. These losses have had and will continue to have an adverse effect on our financial position and working capital. As of December 31, 2024, we had an accumulated deficit of $476.5 million.</w:t>
      </w:r>
    </w:p>
    <w:p>
      <w:pPr>
        <w:sectPr>
          <w:pgSz w:w="11900" w:h="16838" w:orient="portrait"/>
          <w:cols w:equalWidth="0" w:num="1">
            <w:col w:w="11260"/>
          </w:cols>
          <w:pgMar w:left="300" w:top="121" w:right="339" w:bottom="204"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204"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have raised substantial doubt regarding our ability to continue as a going concern. We will require substantial additional funding to finance our operations, and if we are unable to raise capital, we could be forced to delay, reduce the scope of or eliminate certain of our development programs, or explore other strategic options.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 As of December 31, 2024, we had $51.7 million of cash, cash equivalents and investments. We believe these funds are sufficient to fund our operations into the fourth quarter of 2025. Our ability to continue as a going concern is dependent upon our ability to raise additional capital through outside sources. We plan to raise additional capital through the sale of convertible stock, additional equity, debt financings, government programs, or strategic alliances with third parties. Such financing and funding may not be available at all, or on terms that are favorable to us. Failure to raise additional capital could have a material adverse effect on our business, results of operations, financial condition and/or our ability to fund our scheduled obligations on a timely basis or at all. If we are unable to continue as a going concern, we may be forced to liquidate our assets and the values we receive for our assets in liquidation or dissolution could be significantly lower than the values reflected in our consolidated financial statements.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tablet vaccines for the prevention of norovirus and coronavirus infection, which are still in their clinical development stage, and if one or both of these tablet vaccines do not receive regulatory approval or are not successfully commercialized, our business may be harmed.</w:t>
      </w:r>
    </w:p>
    <w:p>
      <w:pPr>
        <w:spacing w:after="0" w:line="17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None of our product candidates are in late-stage clinical development or approved for commercial sale and we may never be able to develop marketable tablet vaccine candidates. We expect that a substantial portion of our efforts and expenditures over the next few years will be devoted to our tablet vaccine candidates for norovirus and coronavirus. We are committing financial resources to the development of a norovirus vaccine and a coronavirus vaccine, which may cause delays in or otherwise negatively impact our other development programs. In addition, our management and scientific teams have dedicated substantial efforts to our norovirus vaccine and coronavirus vaccine development. Accordingly, our business currently depends heavily on the successful development, regulatory approval and commercialization of our norovirus and coronavirus tablet vaccines. These tablet vaccines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U.S. and other countries that each have differing regulations. We are not permitted to market our tablet vaccines in the U.S. until we receive approval of a Biologics License Application (“BLA”) from the FDA, or in any foreign countries until we receive the requisite approval from such countries. Clinical studies for our norovirus vaccine candidate and our COVID-19 vaccine candidate have not been completed. As a result, we have not submitted a BLA to the FDA or comparable applications to other regulatory authorities and do not expect to be in a position to do so for the foreseeable future. Obtaining approval of a BLA is an extensive, lengthy, expensive and inherently uncertain process, and the FDA may delay, limit or deny approval of our tablet vaccines for many reasons, including:</w:t>
      </w:r>
    </w:p>
    <w:p>
      <w:pPr>
        <w:spacing w:after="0" w:line="19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tablet vaccine is safe and effective to the satisfaction of the FDA;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agree that the completed Phase 1 and Phase 2 clinical trials of the norovirus vaccine and the Phase 1 and Phase 2 clinical trials of the COVID-19 vaccine satisfy the FDA’s requirements and may require us to conduct additional testing;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one or more of our clinical trials;</w:t>
      </w:r>
    </w:p>
    <w:p>
      <w:pPr>
        <w:spacing w:after="0" w:line="25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clinical trials may take actions outside of our control that materially and adversely impact our clinical trials;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find the data from our preclinical studies and clinical trials sufficient to demonstrate that the clinical and other benefits of our tablet vaccines outweigh the safety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data generated at our clinical trial sites;</w:t>
      </w:r>
    </w:p>
    <w:p>
      <w:pPr>
        <w:spacing w:after="0" w:line="25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or BLA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as a condition of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manufacturing processes or facilities;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24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funding to further develop our COVID-19 vaccine candidate is currently expected to come from BARDA funds. If BARDA were to eliminate, reduce, delay, or object to funding available to us under the 2024 ATI-RRPV Contract, this could have a significant, negative impact on our revenues and cash flows, and we may be forced to suspend or terminate the continued development of the product candidate or obtain alternative sources of funding.</w:t>
      </w:r>
    </w:p>
    <w:p>
      <w:pPr>
        <w:spacing w:after="0" w:line="18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June 2024, we entered into the 2024 ATI-RRPV Contract with Advanced Technology International, the Rapid Response Partnership Vehicle’s Consortium Management Firm funded by BARDA. The 2024 ATI-RRPV Contract, as modified and amended to date, provides for a funding ceiling of approximately $460.7 million. In February 2025, we entered into Modification No. 5 (the “Modification”) to the 2024 ATI-RRPV Contract. The Modification increased the total amount of funding available for payment to approximately $240.1 million.</w:t>
      </w:r>
    </w:p>
    <w:p>
      <w:pPr>
        <w:spacing w:after="0" w:line="18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anticipate that a significant portion of the funding to further develop our COVID-19 vaccine candidate will come from the remaining amounts to be received under the 2024 ATI-RRPV Contract. The 2024 ATI-RRPV Contract provides that the government has the right to determine whether to fund the</w:t>
      </w:r>
    </w:p>
    <w:p>
      <w:pPr>
        <w:sectPr>
          <w:pgSz w:w="11900" w:h="16838" w:orient="portrait"/>
          <w:cols w:equalWidth="0" w:num="1">
            <w:col w:w="11240"/>
          </w:cols>
          <w:pgMar w:left="320" w:top="121" w:right="339" w:bottom="0" w:gutter="0" w:footer="0" w:header="0"/>
        </w:sectPr>
      </w:pPr>
    </w:p>
    <w:bookmarkStart w:id="30" w:name="page31"/>
    <w:bookmarkEnd w:id="30"/>
    <w:p>
      <w:pPr>
        <w:ind w:right="60"/>
        <w:spacing w:after="0" w:line="258" w:lineRule="auto"/>
        <w:rPr>
          <w:sz w:val="20"/>
          <w:szCs w:val="20"/>
          <w:color w:val="auto"/>
        </w:rPr>
      </w:pPr>
      <w:r>
        <w:rPr>
          <w:rFonts w:ascii="Times New Roman" w:cs="Times New Roman" w:eastAsia="Times New Roman" w:hAnsi="Times New Roman"/>
          <w:sz w:val="18"/>
          <w:szCs w:val="18"/>
          <w:color w:val="auto"/>
        </w:rPr>
        <w:t>continued performance of the study after the initial funding. On February 21, 2025, we received written notification from ATI in the form of stop work orders (the “Notices”) directing us to stop work on all of our efforts with respect to the 2024 ATI-RRPV Contract, with the exception that we may continue efforts associated with the per protocol follow-up for the 400-person cohort. The Notices stated that the stop work order is in effect for a period of 90 days after the date of the Notices and, that within a period of 90 days, ATI, as directed by the U.S. Government, will either cancel the stop-work order, extend the stop work, or terminate the work covered by the letter.</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we were to continue receiving funds under the 2024 ATI-RRPV Contract, the terms of the grant may unfavorably change or the amount of funding may decrease. If the 2024 ATI-RRPV Contract is terminated or suspended, or if there is any government decision not to continue funding or reduction or delay in funding under the 2024 ATI-RRPV Contract, our revenues and cash flows would be significantly and negatively impacted and we may be forced to seek alternative sources of funding, which may not be available on no-dilutive terms, terms favorable to us, or at all.</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a norovirus vaccine candidate and a coronavirus vaccine candidate is at an early stage. We may be unable to produce an effective vaccine that successfully immunizes humans against norovirus or an effective vaccine that successfully immunizes humans against coronavirus in a timely manner, if at all.</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in the business of developing oral vaccines that are administered by tablet rather than by injection. Our development of the norovirus vaccine and a coronavirus vaccine is at an early stage, and we may be unable to produce an effective vaccine that successfully immunizes humans against norovirus or an effective vaccine that successfully immunizes humans against coronavirus in a timely manner,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produce an effective vaccine that successfully immunizes against norovirus or coronavirus in a timely manner, if at all.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pursuing clinical development of vaccine candidates, employing our proprietary oral vaccine platform. While we have begun the Phase 2b clinical trial of our coronavirus vaccine candidate, none of our product candidates has advanced into late-stage clinical trials for the indications that we are pursuing development for. As such, clinical studies of our vaccine candidates may not be completed in a timely manner, and we may not be able to produce an effective vaccine that successfully immunizes against norovirus or coronavirus any time soon, if at all.</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we complete our clinical trials as planned and our vaccine candidates successfully demonstrate safety and efficacy, we cannot predict the probability or timing of subsequently obtaining regulatory approval. Regulatory agencies may not complete their review processes in a timely manner, and we may not be able to obtain timely regulatory approval, if at all. Further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Delays or failure to obtain necessary regulatory approvals in time could have a material adverse effect 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likelihood and timing of our success further depends on our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performance and our ability to maintain relationships with them.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are unsuccessful in maintaining our relationships with critical third parties such as CROs and CMOs, our ability to develop our oral norovirus vaccine candidate or our oral coronavirus vaccine candidate and consequently compete in the marketplace could be impaired, and our results of operations may suffer. Even if we are successful, we cannot assure you that these relationships will result in successful development and commercialization of our oral norovirus vaccine candidate. Our failure, or the failure of such partners or potential partners, to comply with applicable regulations could result in sanctions being imposed on us, including clinical holds, delays, suspension or withdrawal of approval to conduct clinical investigations, license revocation, operating restrictions and criminal prosecutions, any of which could significantly and adversely affect supplies of our potential norovirus vaccine.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Manufacturing any drug product with recombinant technology such as our adenovirus type 5 based vaccines presents technical challenges. Our manufacturing partners may not be able to successfully manufacture any vaccine with our VAAST platform, or to comply with cGMP, regulations or similar regulatory requirements. The number of doses of our potential vaccine that we are able to produce is dependent on our ability to successfully and rapidly scale-up manufacturing capacity. The number of doses that we will be able to produce is also dependent in large part on the dose of the vaccine required to be administered to patients which will be determined in our clinical trials. To properly scale-up and develop a commercial process, we may need to expend significant resources, expertise, and capital.</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Scale up can present problems such as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any manufacturer encounters these or other difficulties, our ability to provide product candidates to patients in our clinical trials could be jeopardized.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fund our operations, and if we fail to obtain necessary financing, we may not be able to complete the development and commercialization of our tablet vaccine candidates.</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expect to spend substantial amounts to complete the development of, seek regulatory approvals for and commercialize our tablet vaccine candidates. We will require substantial additional capital to complete the development and potential commercialization of our tablet vaccine candidates for norovirus, coronavirus, influenza and HPV and the development of other product candidates. If we are unable to raise capital or find appropriate partnering or licensing collaborations, when needed or on acceptable terms, we could be forced to delay, reduce or eliminate one or more of our development programs or any future commercialization efforts. In addition, attempting to secure additional financing may divert the time and attention of our management from day-to-day activities and harm our development efforts.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2024, we had $51.7 million of cash, cash equivalents and investments. We maintain our cash, cash equivalents and investments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we believe such cash, cash equivalents and investments are not sufficient to fund our operations under our current operating plan for at least one year from the date of issuance of this Annual Report, our estimate as to what we will be able to accomplish is based on assumptions that may prove to be inaccurate, and we could exhaust our available capital resources sooner than is currently expected. Because the length of time and activities associated with successful development of our product candidates is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18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partnering and collaboration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planned clinical trials;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European Medicines Agency, or EMA,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any patent infringement actions brought by third parties against us now or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in regions where we choose to commercialize our product candidates on our own;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results of the commercialization of our product candidates, if approved, for commercial sale.</w:t>
      </w:r>
    </w:p>
    <w:p>
      <w:pPr>
        <w:spacing w:after="0" w:line="252"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spacing w:after="0" w:line="172"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government programs,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w:t>
      </w:r>
    </w:p>
    <w:p>
      <w:pPr>
        <w:sectPr>
          <w:pgSz w:w="11900" w:h="16924" w:orient="portrait"/>
          <w:cols w:equalWidth="0" w:num="1">
            <w:col w:w="11240"/>
          </w:cols>
          <w:pgMar w:left="320" w:top="121" w:right="339" w:bottom="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volatile and fluctuates substantially, which could result in substantial losses for stockholders.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As a result of this volatility, our stockholders could incur substantial losses.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your initial purchase price.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 the results of clinical trials of our products or those of our competitors, regulatory or legal developments, developments, disputes, or other matters concerning patent applications, issued patents, or other proprietary rights, our ability to recruit and retain key personnel, public announcements by us or our strategic collaborators regarding the progress of our development candidates similar public announcements by our competitors, and other factors set forth in this document and our other reports filed with the SEC.</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public statements by us, government agencies, the media or others relating to the SARS-CoV-2 outbreak (including regarding efforts to develop a COVID-19 vaccine) have in the past resulted, and may in the future result, in significant fluctuations in our stock price. Given the global focus on the coronavirus outbreak, any information in the public arena on this topic, whether or not accurate, could have an outsized impact (either positive or negative) on our stock price. Information related to our development, manufacturing and distribution efforts with respect to our vaccine candidates, or information regarding such efforts by competitors with respect to their potential vaccines, may also impact our stock price.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stock price is likely to continue to be volatile and subject to significant price and volume fluctuations in response to market and other factors, including: the other factors discussed in our filings incorporated by reference herein or in future periodic reports; variations in our quarterly operating results from our expectations or those of securities analysts or investors; downward revisions in securities analysts’ estimates; and announcement by us or our competitors of significant acquisitions, strategic partnerships, joint ventures or capital commitments.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prices for securities of early-stage pharmaceutical, biotechnology and other life sciences companies have historically been particularly volatile.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cause the market price of our common stock to fluctuate include:</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and conduct clinical trials that demonstrate our product candidates are safe and effective;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receive royalty payments on the sales of our product candidates including Inavir;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our product candidates, and delays or failures to obtain such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to demonstrate safety and efficacy, receive regulatory approval and achieve commercial success;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license, manufacturing and supply agreements;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that of our licensors, to prosecute, maintain, or enforce our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product candidates or the inability to do so at acceptable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or competing products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if they issue adverse or misleading opinions regarding our business and stock;</w:t>
      </w:r>
    </w:p>
    <w:p>
      <w:pPr>
        <w:sectPr>
          <w:pgSz w:w="11900" w:h="16838" w:orient="portrait"/>
          <w:cols w:equalWidth="0" w:num="1">
            <w:col w:w="11240"/>
          </w:cols>
          <w:pgMar w:left="320" w:top="121" w:right="339" w:bottom="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our existing stockholders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generally, including with respect to other products and potential products in such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could result in a delisting of our common stock which could negatively impact the price of our securities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them.</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which imposes continued listing requirements and rules, including a $1.00 minimum bid price per share requirement and certain financial metrics relating to our stockholders’ equity, market value of listed securities, or net income from continuing operations. There can be no assurance that we will continue to meet these requirements and rules. If we fail to meet the minimum bid price requirement, as described below, or other applicable Nasdaq listing requirements, our common stock could be delisted. If The Nasdaq Capital Market delists our securities, we could face significant consequences, including:</w:t>
      </w:r>
    </w:p>
    <w:p>
      <w:pPr>
        <w:spacing w:after="0" w:line="183" w:lineRule="exact"/>
        <w:rPr>
          <w:sz w:val="20"/>
          <w:szCs w:val="20"/>
          <w:color w:val="auto"/>
        </w:rPr>
      </w:pPr>
    </w:p>
    <w:p>
      <w:pPr>
        <w:ind w:left="380" w:hanging="21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380" w:hanging="21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380" w:right="140" w:hanging="210"/>
        <w:spacing w:after="0" w:line="184" w:lineRule="auto"/>
        <w:tabs>
          <w:tab w:leader="none" w:pos="380" w:val="left"/>
        </w:tabs>
        <w:numPr>
          <w:ilvl w:val="0"/>
          <w:numId w:val="2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determination that our common stock is a “penny stock,” which will require brokers trading in our common stock to adhere to more stringent rules and possibly result in reduced trading;</w:t>
      </w:r>
    </w:p>
    <w:p>
      <w:pPr>
        <w:spacing w:after="0" w:line="198" w:lineRule="exact"/>
        <w:rPr>
          <w:rFonts w:ascii="Times New Roman" w:cs="Times New Roman" w:eastAsia="Times New Roman" w:hAnsi="Times New Roman"/>
          <w:sz w:val="34"/>
          <w:szCs w:val="34"/>
          <w:color w:val="auto"/>
          <w:vertAlign w:val="subscript"/>
        </w:rPr>
      </w:pPr>
    </w:p>
    <w:p>
      <w:pPr>
        <w:ind w:left="380" w:hanging="21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in the secondary trading market for our common stock;</w:t>
      </w:r>
    </w:p>
    <w:p>
      <w:pPr>
        <w:spacing w:after="0" w:line="225"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380" w:hanging="21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addition, we would no longer be subject to The Nasdaq Capital Market rules, including rules requiring us to have a certain number of independent directors and to meet other corporate governance standards.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common stock traded for less than $1.00 for 30 consecutive trading days, and we received notice of this from the Listing Qualifications Department of The Nasdaq Stock Market on July 2, 2024. Under Nasdaq Listing Rule 5810(c)(3)(A), we were granted a 180-calendar day grace period, or until December 30, 2024, to regain compliance with the minimum bid price requirement. On December 31, 2024, Nasdaq notified the Company in writing that while the Company had not regained compliance with the minimum bid price requirement, it was eligible for an additional 180-day compliance period, or until June 30, 2025, to regain compliance with the minimum bid price requirement. Nasdaq’s determination was based on the Company having met the continued listing requirement for market value of publicly held shares and all other applicable requirements for initial listing on The Nasdaq Capital Market, with the exception of the minimum bid price requirement, and on the Company’s written notice to Nasdaq of its intention to cure the deficiency during the second compliance period by effecting a reverse stock split, if necessary.</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minimum bid price requirement would be met if our common stock had a minimum closing bid price of at least $1.00 per share for a minimum of ten consecutive business days during the additional 180-calendar day grace period. If at any time during this 180-calendar day period the bid price of the Company’s common stock closes at or above $1.00 per share for a minimum of ten consecutive business days, the Nasdaq staff stated that it will provide the Company with a written confirmation of compliance and the matter will be closed.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Alternatively, if we fail to regain compliance with Rule 5550(a)(2) prior to the expiration of the second 180-calendar day period, then Nasdaq will notify the Company of its determination to delist the Company’s securities, at which point the Company would have an opportunity to appeal the delisting determination to a hearings panel. There can be no assurance that the Company will be able to regain compliance with the minimum bid price requirement or that the Company will otherwise remain in compliance with the other listing standards for The Nasdaq Capital Market.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delisting of our common stock from Nasdaq would adversely affect the liquidity of our common stock and may make it more difficult for us to raise capital on favorable terms in the future, or at all. Such a delisting would likely have a negative effect on the price of our common stock and would impair our stockholders’ ability to sell or purchase our common stock when they wish to do so. Further, if our common stock were to be delisted from The Nasdaq Capital Market, our common stock would cease to be recognized as a covered security and we would be subject to additional regulation in each state in which we offer our securities. Moreover, there is no assurance that any actions that we take to restore our compliance with the Nasdaq minimum bid price requirement would stabilize the market price or improve the liquidity of our common stock, prevent our common stock from falling below the Nasdaq minimum bid price required for continued listing again, or prevent future non-compliance with Nasdaq’s listing requirements.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Unless our common stock continues to be listed on a national securities exchange it will become subject to the so-called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rules that impose restrictive sales practice requirements.</w:t>
      </w:r>
    </w:p>
    <w:p>
      <w:pPr>
        <w:sectPr>
          <w:pgSz w:w="11900" w:h="16838" w:orient="portrait"/>
          <w:cols w:equalWidth="0" w:num="1">
            <w:col w:w="11200"/>
          </w:cols>
          <w:pgMar w:left="320" w:top="121" w:right="379" w:bottom="138"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If we are unable to maintain the listing of our common stock on Nasdaq or another national securities exchange, our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as defined by relevant SEC rules.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This means that if we are unable to maintain the listing of our common stock on a national securities exchange, the ability of stockholders to sell their common stock in the secondary market could be adversely affected.</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infectious disease, such as COVID-19, the severe acute respiratory syndrome, the H5N1 strain of avian influenza, the H1N1 strain of swine flu, and the Zika virus.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occurrence of a pandemic, epidemic, or outbreak of an infectious disease, including, but not limited to, COVID-19, the severe acute respiratory syndrome, the H5N1 strain of avian influenza, the H1N1 strain of swine flu, and the Zika virus, is highly uncertain and cannot be predicted with confidence, including the duration, scope, and severity of such event. These severe conditions may cause us and our business partners to make adjustments, such as temporarily closing down business, limiting business hours, and setting restrictions on travel. In regions where we have concentrations of clinical trial sites or other business activities, our business could be adversely affected by health epidemics, which could cause significant disruption in the operations of third-party contract manufacturers and contract research organizations upon whom we rely, as well as our ability to recruit patients for our clinical trials. Any of the forgoing disruptions to our business can result in material adverse effects to our financial condition and results of operations.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outbreak and any preventative or protective actions that governments or we may take in respect of any epidemic may result in a period of business disruption and reduced operations. Any resulting financial impact cannot be reasonably estimated at this time but may materially affect our business, financial condition and results of operations. The extent to which an epidemic impacts our results will depend on future developments, which are highly uncertain and cannot be predicted, including new information which may emerge concerning the severity of an epidemic and the actions to contain the epidemic or treat its impact, among others. There may be interruptions to our supply chain due to the inability of manufacturers to continue normal business operations and to ship products. In addition, a significant outbreak of an infectious disease could result in a widespread health crisis that could adversely affect the economies and financial markets worldwide, resulting in an economic downturn that could impact our business, financial condition and results of operations. We are currently working to enhance our business continuity plans to include measures to protect our employees in the event of infection in our corporate offices, or in response to potential mandatory quarantines.</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military conflicts could cause geopolitical instability, economic uncertainty, financial markets volatility and capital markets disruption may adversely affect our revenue, financial condition, or results of operations.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Current military conflicts may disrupt or otherwise adversely impact our operations and those of third parties upon which we rely. Related sanctions, export controls or other actions that have already been initiated or may in the future be initiated by nations including the U.S., the European Union or Russia (e.g., potential cyberattacks, disruption of energy flows, etc.) can adversely affect our business, our contract research organizations, contract manufacturing organizations and other third parties with which we conduct business. Resulting volatility, disruption, or deterioration in the credit and financial markets may further make any necessary debt or equity financing more difficult and more costly.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be adversely impacted by deteriorating economic conditions, which could directly affect our ability to attain our operating goals and to accurately forecast and plan our future business activities.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adequate reimbursement and insurance coverage for our product candidates, our ability to generate significant revenue could be limited.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expensive treatments. Sales of any of our product candidates that receive marketing approval will depend substantially, both in the U.S.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level of reimbursement for our products is likely to be reduced compared with the U.S. and may be insufficient to generate commercially reasonable revenues and profits.</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internationally, to cap or reduce healthcare costs may cause such organizations to limit both coverage and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 officers and attract, retain and motivate qualified personnel.</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rely on our executive officers and the other principal members of the executive and scientific teams. The employment of our executive officers is at-will and our executive officers may terminate their employment at any time. The loss of the services of any of our senior executive officers could impede the achievement of our research, development and commercialization objectives. We do not maintain “key person” insurance for any executive officer or employee.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and sales and marketing personnel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industry has experienced an increasing rate of turnover of management and scientific personnel in recent years. In addition, we rely on consultants and advisors, including scientific and clinical advisors, to assist us in devising our research and development and commercialization strategy. Our consultants and advisors may be employed by third parties and have commitments under consulting or advisory contracts with other entities that may limit their availability to advance our strategic objectives. If any of these advisors or consultants can no longer dedicate a sufficient amount of time to us, our business may be harmed.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may experience difficulties in managing this growth, which could disrupt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continue to earn royalties and compete effectively will depend, in part, on our ability to effectively manage any future growth. As of December 31, 2024, we had 105 employees, which we believe would be insufficient to commercialize our vaccine product candidates.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spacing w:after="0" w:line="1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and consultants have greater financial and other resources, different risk profiles and a longer history in the industry than us. They may also provide more diverse opportunities and better chances for career advancement. Some of these characteristics may be more appealing to high-quality candidates and consultants than what we are able to offer. If we are unable to continue to attract and retain high-quality personnel and consultants, the rate and success at which we can select and develop our product candidates and our business will be limited.</w:t>
      </w:r>
    </w:p>
    <w:p>
      <w:pPr>
        <w:spacing w:after="0" w:line="179"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legal proceedings, and may be subject to additional legal proceedings, which may result in substantial costs, divert management’s attention and have a material adverse effect on our business, financial condition and results of operations.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currently subject to certain pending legal proceedings, as described in this document. We may become involved in additional legal proceedings relating to the aforementioned matters or, from time to time, we may become involved in legal proceedings involving unrelated matters. Due to the inherent uncertainties in legal proceedings, we cannot accurately predict their ultimate outcome. Our stock price has been extremely volatile, and we may become involved in additional securities class action lawsuits in the future. Any such legal proceedings, regardless of their merit, could result in substantial costs and a diversion of management’s attention and resources that are needed to successfully run our business, could impair the Company’s ability to recruit and retain directors, officers, and other key personnel, could impact its ability to secure financing, insurance, and other transactions (or the terms of any such financings, insurance, or other transactions), and for these and other reasons could have a material adverse impact on our business, financial condition, results of operations, and prospects.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reports about our business, our stock price and trading volume could decline.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independent research and reports that securities or industry analysts publish about us or our business from time to time. If one or more of the analysts who cover us should downgrade our shares or change their opinion of our business prospects, our share price would likely decline.</w:t>
      </w:r>
    </w:p>
    <w:p>
      <w:pPr>
        <w:spacing w:after="0" w:line="172"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light of the COVID-19 pandemic,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3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Smaller reporting companies are able to provide simplified executive compensation disclosures in their filings and have certain other decreased disclosure obligations in their SEC filings. We cannot predict whether investors will find our common stock less attractive because of our reliance on the smaller reporting company exemption.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Development, Regulatory Approval and Commercialization</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currently no approved vaccines for the prevention of norovirus-related illness. Therefore, the regulatory pathway for any approval of a norovirus vaccine is not entirely clear and may result in unexpected or unforeseen challenges.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there are currently no vaccines for the prevention of norovirus that are approved by the FDA or another regulatory agency, the regulatory pathway for any approval of a norovirus vaccine is not entirely clear and may result in unexpected or unforeseen challenges. Successful discovery and development of a norovirus vaccine is highly uncertain and dependent on numerous factors, many of which are beyond our control. Our development of the vaccine is in early stages, and we may be unable to produce a vaccine that successfully treats the virus in a timely manner, if at all. Results from clinical testing may raise new questions and require us to redesign proposed clinical trials, including revising proposed endpoints or adding new clinical trial sites or cohorts of subjects. In addition, the FDA’s analysis of clinical data may differ from our interpretation and the FDA may require that we conduct additional analyses.</w:t>
      </w:r>
    </w:p>
    <w:p>
      <w:pPr>
        <w:sectPr>
          <w:pgSz w:w="11900" w:h="16838" w:orient="portrait"/>
          <w:cols w:equalWidth="0" w:num="1">
            <w:col w:w="11220"/>
          </w:cols>
          <w:pgMar w:left="320" w:top="121" w:right="359" w:bottom="1041"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pathway for COVID-19 vaccines is evolving and may result in unexpected or unforeseen challenges.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speed at which all parties are acting to create and test therapeutics and vaccines for COVID-19 is unusual, and evolving or changing plans or priorities within the FDA, including changes based on new knowledge of COVID-19 and how the disease affects the human body, may significantly affect the regulatory timeline for COVID vaccine candidates. Results from clinical testing may raise new questions and require us to redesign proposed clinical trials, including revising proposed endpoints or adding new clinical trial sites or cohorts of subjects. Results from our vaccine (and other COVID-19) trials may require us to perform additional preclinical studies in order to advance our vaccine candidates. Discussions with FDA regarding the design of the anticipated Phase 2 and 3 studies for COVID-19 vaccine candidates are ongoing and important aspects of the trial design have yet to be determined, including the number of patients to be enrolled, the specific endpoints of the trial and the methods for obtaining and testing samples in the trial. The incidence of COVID-19 in the communities where our studies might be conducted will vary across different locations. If the overall incidence of COVID-19 in those locations is low, it may be difficult for us to recruit subjects or for any study we might perform to demonstrate differences in infection rates between participants in the study who receive placebo and participants in the study who receive COVID-19 vaccine candidates. The availability of other authorized vaccines may decrease the population of clinical trial subjects willing to participate in our future trials.</w:t>
      </w:r>
    </w:p>
    <w:p>
      <w:pPr>
        <w:spacing w:after="0" w:line="19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COVID-19 vaccine candidates, we would be able to commercialize the vaccine candidate prior to FDA approval. Furthermore,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the vaccine candidate is not yet approved by the FDA and if we and our manufacturing partners have invested in the supply chain to provide the vaccine candidate under an Emergency Use Authorization.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any success in preclinical testing we might observe for our COVID-19 vaccine candidates may not be predictive of the results of later-stage human clinical trials. Factors such as efficacy, immunogenicity, and adverse events can emerge at any time in clinical testing and have the potential to have adverse consequences for our ability to proceed with clinical trials. Other factors such as manufacturing challenges, availability of raw materials, and slowdowns in the global supply chain may delay or prevent us from receiving regulatory approval of our vaccine candidate or, if we do receive regulatory approval, prevent a successful product launch. We may not be successful in developing a vaccine, or another party may be successful in producing a more efficacious vaccine or other treatment for COVID-19.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dynamics in the market for COVID-19 vaccines are likely to impact our financial results.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if approved. Further, our continued development efforts for our COVID-19 vaccine could face increased research and development costs, including for clinical trials, when updating COVID-19 vaccines for new variants of concern.</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develop and refine the formulations of our tablet vaccine candidates, we may not obtain regulatory approvals, and even if approved, the commercial acceptance of our tablet vaccine candidates would likely be limited.</w:t>
      </w:r>
    </w:p>
    <w:p>
      <w:pPr>
        <w:spacing w:after="0" w:line="15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In our H1N1 influenza Phase 2 trial we used vaccine tablets that contained approximately 1.5 x 10</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IU of vaccine. Accordingly, subjects in this trial were required to take seven tablets in a single setting to reach the aggregate dose of 1 x 10</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IU, the target dose for this trial. We believe that in order to fully capture the commercial success of our seasonal influenza vaccine candidate, we will need to continue to refine our formulation and develop influenza vaccine tablets that contain the desired dose for each vaccine strain in a single tablet, resulting in a vaccination regime of no more than three tablets. Increasing the potency of the vaccine tablets may affect the stability profile of the vaccine and we may not be able to reduce the vaccination regime for an influenza strain to a single tablet or combine the three influenza strains into one vaccine tablet. In addition, increasing the potency of the vaccine tablets or combining the influenza strains necessary to create a trivalent vaccine may adversely affect manufacturing yields and render such tablets too costly to manufacture at commercial scale. Our efforts to develop tablet vaccine candidates for norovirus face similar formulation challenges. If we are unable to further develop and refine the formulations of our tablet vaccine candidates, we may be unable to obtain regulatory approval from the FDA or other regulatory authorities, and even if approved, the commercial acceptance of our tablet vaccine candidates would likely be limited.</w:t>
      </w:r>
    </w:p>
    <w:p>
      <w:pPr>
        <w:spacing w:after="0" w:line="194"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very expensive, time-consuming, difficult to design and implement and involve an uncertain outcome, and if they fail to demonstrate safety and efficacy to the satisfaction of the FDA, or similar regulatory authorities, we will be unable to commercialize our tablet vaccine candidates.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tablet vaccine candidates for norovirus, coronavirus and influenza are still in early-stage clinical development. Our vaccine candidates will require extensive additional clinical testing before we are prepared to submit a BLA for regulatory approval for either indication or for any other treatment regime. Such testing is expensive and time-consuming and requires specialized knowledge and expertise. We cannot predict with any certainty if or when we might submit a BLA for regulatory approval for any of our tablet vaccine candidates, which are currently in clinical development, or whether any such BLAs will be approved by the FDA. Human clinical trials are very expensive and difficult to design and implement, in part because they are subject to rigorous regulatory requirements. For instance, the FDA may not agree with our proposed endpoints for any clinical trial we propose, which may delay the commencement of our clinical trials. The clinical trial process is also time-consuming. We estimate that the clinical trials we need to conduct to be in a position to submit BLAs for our tablet vaccine candidates for norovirus, coronavirus and influenza will take several years to complete. Furthermore, failure can occur at any stage of the trials, and we could encounter problems that cause us to abandon or repeat clinical trials. Our vaccine candidates in the later stages of clinical trials may fail to show the desired safety and efficacy traits despite having progressed through preclinical studies and initial clinical trials. Also, the results of early clinical trials of the tablet vaccine candidates for norovirus, coronavirus and influenza may not be predictive of the results of subsequent clinical trials. Furthermore, the FDA may impose additional requirements to conduct preclinical studies to advance the HPV therapeutic vaccine candidates which could delay initiation of Phase 1 studies. A number of companies in the biopharmaceutical industry have suffered significant setbacks in advanced clinical trials due to lack of efficacy or adverse safety profiles, notwithstanding promising results in earlier trials.</w:t>
      </w:r>
    </w:p>
    <w:p>
      <w:pPr>
        <w:sectPr>
          <w:pgSz w:w="11900" w:h="16838" w:orient="portrait"/>
          <w:cols w:equalWidth="0" w:num="1">
            <w:col w:w="11240"/>
          </w:cols>
          <w:pgMar w:left="320" w:top="121" w:right="339" w:bottom="609"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Additionally, success in preclinical testing and early clinical trials does not ensure success in later clinical trials, which involve many more subjects and, for influenza, all three strains rather than the one strain we have studied in Phase 1 clinical trials to date. Accordingly, the results of later clinical trials may not replicate the results of prior clinical trials and preclinical testing or may be interpreted in a way that may not be sufficient for marketing approval.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tablet vaccine candidates, including that:</w:t>
      </w:r>
    </w:p>
    <w:p>
      <w:pPr>
        <w:spacing w:after="0" w:line="162" w:lineRule="exact"/>
        <w:rPr>
          <w:sz w:val="20"/>
          <w:szCs w:val="20"/>
          <w:color w:val="auto"/>
        </w:rPr>
      </w:pPr>
    </w:p>
    <w:p>
      <w:pPr>
        <w:ind w:left="660" w:right="4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delay or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or CROs;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tablet vaccine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tablet vaccine candidates may be larger than we anticipate; enrollment in these clinical trials may be slower than we anticipate, or participants may drop out of these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263" w:lineRule="exact"/>
        <w:rPr>
          <w:rFonts w:ascii="Times New Roman" w:cs="Times New Roman" w:eastAsia="Times New Roman" w:hAnsi="Times New Roman"/>
          <w:sz w:val="17"/>
          <w:szCs w:val="17"/>
          <w:color w:val="auto"/>
        </w:rPr>
      </w:pPr>
    </w:p>
    <w:p>
      <w:pPr>
        <w:ind w:left="660" w:right="2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tablet vaccine candidates may be greater than we anticipate;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tablet vaccine candidates or other materials necessary to conduct clinical trials may be insufficient or inadequate.</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tablet vaccine candidates beyond those that we currently contemplate, if we are unable to successfully complete clinical trials of our tablet vaccine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tablet vaccine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tablet vaccine candidates, could allow our competitors to bring products to market before we do, and could impair our ability to successfully commercialize our tablet vaccine candidates, any of which may harm our business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resurgence of the COVID-19 pandemic or the emergence of another public health emergency/pandemic could adversely impact our preclinical studies and clinical trials.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active and planned preclinical studies and clinical trial sites in the U.S.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both COVID-19 and countermeasures have abated to some degree, there can be no assurance that the COVID-19 pandemic will not cause disruptions to our business development activities, including our clinical trials. In the event of a resurgence of the COVID-19 pandemic or emergence of another public health emergency, we may experience disruptions that could severely impact our planned and ongoing preclinical studies and clinical trials, including preclinical and clinical studies and manufacturing of our vaccine candidates. Effects on our preclinical studies and clinical trial programs include, but are not limited to:</w:t>
      </w:r>
    </w:p>
    <w:p>
      <w:pPr>
        <w:spacing w:after="0" w:line="18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procuring subjects in our preclinical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preclinical and clinical site initiation, including difficulties in establishing appropriate and safe social distancing and other safeguards at preclinical and clinical sites;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preclinical and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preclinical study and clinical trial activities, such as preclinical and clinical trial site monitoring, subject recruitment and subject testing due to the course of the pandemic, limitations on freight and/or travel imposed or recommended by federal or state governments, employers and others;</w:t>
      </w:r>
    </w:p>
    <w:p>
      <w:pPr>
        <w:spacing w:after="0" w:line="17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preclinical studies and clinical trials, including because of sickness of employees or their families, delays or difficulties in conducting site visits and other required travel, and the desire of employees to avoid contact with large groups of people;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or continue our planned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or other countries;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vaccine products or COVID-19 treatments and related technologies.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a patient participating in one of our clinical trials contracts COVID-19, this could negatively impact the data readouts from these trials; for example, the patient may be unable to participate further (or may have to limit participation) in our clinical trial, the patient may show a different efficacy assessment than if the patient had not been infected, or such patient could experience an adverse event that could be attributed to our drug product.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extent to which COVID-19 may impact our preclinical studies and clinical trials will depend on future developments, which remains highly uncertain and cannot be predicted with confidence.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platform includes a novel vaccine adjuvant and all of our current tablet vaccine candidates include this novel adjuvant, which may make it difficult for us to predict the time and cost of tablet vaccine development as well as the requirements the FDA or other regulatory agencies may impose to demonstrate the safety of the tablet vaccine candidates.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Novel vaccine adjuvants, included in some of our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Our current tablet vaccine candidates, including for norovirus, include a novel adjuvant, and future vaccine candidates may also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to people with disease. Such extensive study has often included long-term monitoring of safety in large general populations that has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our tablet vaccine candidates in the U.S. or elsewhere.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subjects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a sufficient number of participants to complete any of our clinical trials. Once enrolled, we may be unable to retain a sufficient number of participants to complete any of our trials. Late-stage clinical trials of our tablet vaccine candidate</w:t>
      </w:r>
    </w:p>
    <w:p>
      <w:pPr>
        <w:ind w:right="80"/>
        <w:spacing w:after="0" w:line="252" w:lineRule="auto"/>
        <w:rPr>
          <w:sz w:val="20"/>
          <w:szCs w:val="20"/>
          <w:color w:val="auto"/>
        </w:rPr>
      </w:pPr>
      <w:r>
        <w:rPr>
          <w:rFonts w:ascii="Times New Roman" w:cs="Times New Roman" w:eastAsia="Times New Roman" w:hAnsi="Times New Roman"/>
          <w:sz w:val="18"/>
          <w:szCs w:val="18"/>
          <w:color w:val="auto"/>
        </w:rPr>
        <w:t>for norovirus and coronavirus,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costlier than animal-based studies.</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of our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our ability to develop our tablet vaccine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in compliance with applicable regulations. Enforcement actions brought against these third parties may cause further delays and expenses related to our clinical development programs.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Vaccine development is highly competitive and subject to rapid and significant technological advancements. We face competition from various sources, including larger and better funded pharmaceutical, specialty pharmaceutical and biotechnology companies, as well as academic institutions, governmental agencies and public and private research institutions. In particular, our COVID-19 and influenza vaccine candidates would compete with products that are available and have gained market acceptance as the standard treatment protocol. Further, it is likely that additional drugs or other treatments will become available in the future for the treatment of the diseases we are targeting.</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tablet vaccines, we face competition from approved vaccines, against which new tablet vaccines must demonstrate compelling advantages in efficacy, convenience, tolerability and safety, and from competitors working to patent, discover, develop or commercialize medicines before we can do the same with tablet vaccines.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products for the treatment of diseases, as well as in obtaining regulatory approvals of those products in the U.S.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tablet vaccine candidate that we may develop.</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face competition from other drugs currently approved or that will be approved in the future for the treatment of the other infectious diseases we are currently targeting. Therefore, our ability to compete successfully will depend largely on our ability to:</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tablet vaccine candidates that are superior to other vaccines in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tablet vaccine candidates are differentiated from existing and future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vaccine development and commercial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tablet vaccine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independently or with collaborators, new tablet vaccine candidates.</w:t>
      </w:r>
    </w:p>
    <w:p>
      <w:pPr>
        <w:spacing w:after="0" w:line="24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availability of our competitors’ vaccines could limit the demand, and the price we are able to charge, for any tablet vaccine candidate we develop. The inability to compete with existing or subsequently introduced vaccines would have an adverse impact on our business, financial condition and prospects.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any of our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our competitors may succeed in obtaining patent protection, discovering, developing, receiving the FDA’s approval for or commercializing medicines before we do, which would have an adverse impact on our business and results of operations.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to develop new technologies and proprietary products. While we believe that our proprietary tablet vaccine candidates provide competitive advantages, we face competition from many different sources, including biotechnology and pharmaceutical companies, academic institutions, government agencies, as well as public and private research institutions. Any products</w:t>
      </w:r>
    </w:p>
    <w:p>
      <w:pPr>
        <w:sectPr>
          <w:pgSz w:w="11900" w:h="16838" w:orient="portrait"/>
          <w:cols w:equalWidth="0" w:num="1">
            <w:col w:w="11220"/>
          </w:cols>
          <w:pgMar w:left="320" w:top="121" w:right="359" w:bottom="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that we may commercialize will have to compete with existing products and therapies as well as new products and therapies that may become available in the future.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are other organizations working to improve existing therapies, vaccines or delivery methods, or to develop new vaccines, therapies or delivery methods for their selected indications. Depending on how successful these efforts are, it is possible they may increase the barriers to adoption and success of our vaccine candidates, if approved.</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5" w:name="page46"/>
    <w:bookmarkEnd w:id="45"/>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currently no approved norovirus vaccine for sale globally. We are aware that HilleVax, Inc. and Moderna, Inc. are developing norovirus vaccines that would be delivered by injection. Another company developing a norovirus vaccine candidate is Anhui Zhifei Longcom Biopharmaceutical Co. Ltd. There may be other development programs that we are not aware of.</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is significant competition in the COVID-19 vaccine market. Pfizer-BioNTech’s COVID-19 vaccine, Moderna’s COVID-19 vaccine and Novavax’s COVID-19 vaccine have been approved in the U.S. and many countries around the world.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tablet vaccine candidates may cause adverse effects or have other properties that could delay or prevent their regulatory approval or limit the scope of any approved label or market acceptance.</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Adverse events caused by our tablet vaccine candidates could cause reviewing entities, clinical trial sites or regulatory authorities to interrupt, delay or halt clinical trials and could result in the denial of regulatory approval. If an unacceptable frequency or severity of adverse events are reported in clinical trials for our tablet vaccine candidates, our ability to obtain regulatory approval for such tablet vaccine candidates may be negatively impacted.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Furthermore, if any of our tablet vaccines are approved and then cause serious or unexpected side effects, a number of potentially significant negative consequences could result, including:</w:t>
      </w:r>
    </w:p>
    <w:p>
      <w:pPr>
        <w:spacing w:after="0" w:line="162" w:lineRule="exact"/>
        <w:rPr>
          <w:sz w:val="20"/>
          <w:szCs w:val="20"/>
          <w:color w:val="auto"/>
        </w:rPr>
      </w:pPr>
    </w:p>
    <w:p>
      <w:pPr>
        <w:ind w:left="660" w:right="5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tablet vaccine candidates or impose restrictions on their distribution or other risk management measures;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warnings or contraindications;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tablet vaccine candidates are administered or to conduct additional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injuries sustained by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the Vaccine Injury Compensation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elect to discontinue the sale of our tablet vaccine candidates;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tablet vaccine candidate and could substantially increase the costs of commercialization.</w:t>
      </w:r>
    </w:p>
    <w:p>
      <w:pPr>
        <w:spacing w:after="0" w:line="15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will not be able to commercialize, or will be delayed in commercializing, our tablet vaccine candidates, and our ability to generate significant revenue will be impaired.</w:t>
      </w:r>
    </w:p>
    <w:p>
      <w:pPr>
        <w:spacing w:after="0" w:line="15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Our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U.S. and by comparable authorities in other countries. Failure to obtain marketing approval for a tablet vaccine candidate will prevent us from commercializing the tablet vaccine candidate. We have not received approval to market any of our tablet vaccine candidates from regulatory authorities in any jurisdiction. We have only limited experience in filing and supporting the applications necessary to gain marketing approvals and expect to rely on CROs to assist us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Our tablet vaccine candidates may not be effective, may be only moderately effective or may</w:t>
      </w:r>
    </w:p>
    <w:p>
      <w:pPr>
        <w:sectPr>
          <w:pgSz w:w="11900" w:h="16942" w:orient="portrait"/>
          <w:cols w:equalWidth="0" w:num="1">
            <w:col w:w="11220"/>
          </w:cols>
          <w:pgMar w:left="320" w:top="121" w:right="359" w:bottom="0" w:gutter="0" w:footer="0" w:header="0"/>
        </w:sectPr>
      </w:pPr>
    </w:p>
    <w:bookmarkStart w:id="46" w:name="page47"/>
    <w:bookmarkEnd w:id="46"/>
    <w:p>
      <w:pPr>
        <w:ind w:right="320"/>
        <w:spacing w:after="0" w:line="282" w:lineRule="auto"/>
        <w:rPr>
          <w:sz w:val="20"/>
          <w:szCs w:val="20"/>
          <w:color w:val="auto"/>
        </w:rPr>
      </w:pPr>
      <w:r>
        <w:rPr>
          <w:rFonts w:ascii="Times New Roman" w:cs="Times New Roman" w:eastAsia="Times New Roman" w:hAnsi="Times New Roman"/>
          <w:sz w:val="18"/>
          <w:szCs w:val="18"/>
          <w:color w:val="auto"/>
        </w:rPr>
        <w:t>prove to have undesirable or unintended side effects, toxicities or other characteristics that may preclude us obtaining marketing approval or prevent or limit commercial use.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elsewhere, is expensive, may take many years and can vary substantially based upon a variety of factors, including the type, complexity and novelty of the tablet vaccine candidates involved. We cannot be sure that we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in the United States, we may never obtain approval for or commercialize our tablet vaccine candidates in any other jurisdiction, which would limit our ability to realize each product’s full market potential.</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market any of our tablet vaccine candidates in a particular jurisdiction, we must establish and comply with numerous and varying regulatory requirements on a country-by-country basis regarding safety and efficacy. Approval by the FDA in the U.S.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tablet vaccine candidates in those countries. We do not have any tablet vaccine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tablet vaccine candidate we develop will be unrealized.</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we will still face extensive ongoing regulatory requirements and our tablet vaccine candidates may face future development and regulatory difficulties.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tablet vaccine candidate for which we obtain marketing approval, along with the manufacturing processes, post-approval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good clinical practice, or GCP, requirements for any clinical trials that we conduct post-approval. Even if marketing approval of a tablet vaccine candidate is granted, the approval may be subject to limitations on the indicated uses for which the tablet vaccine candidates may be marketed or to the conditions of approval. If a tablet vaccine candidate receives marketing approval, the accompanying label may limit the approved use of that tablet vaccine, which could limit sales.</w:t>
      </w:r>
    </w:p>
    <w:p>
      <w:pPr>
        <w:spacing w:after="0" w:line="19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and/or efficacy of our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tablet vaccine candidates for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tablet vaccine candidates, manufacturers or manufacturing processes, or failure to comply with regulatory requirements, may yield various results,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tablet vaccine distribution or use;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tablet vaccine candidate from the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such tablet vaccine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vaccine candidate seizure;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ectPr>
          <w:pgSz w:w="11900" w:h="16838" w:orient="portrait"/>
          <w:cols w:equalWidth="0" w:num="1">
            <w:col w:w="11240"/>
          </w:cols>
          <w:pgMar w:left="320" w:top="121" w:right="339" w:bottom="906"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any of our tablet vaccine candidates. If we are slow or unable to adapt to changes in existing requirements or the adoption of new requirements or policies, or if we are not able to maintain regulatory compliance, we may lose any marketing approval that we may have obtained.</w:t>
      </w:r>
    </w:p>
    <w:p>
      <w:pPr>
        <w:spacing w:after="0" w:line="172"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tablet vaccine candidates receive marketing approval, they may fail to achieve market acceptance by physicians, patients, third-party payors or others in the medical community necessary for commercial success.</w:t>
      </w:r>
    </w:p>
    <w:p>
      <w:pPr>
        <w:spacing w:after="0" w:line="15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our tablet vaccine candidates, including our vaccine for coronavirus and norovirus, receive marketing approval, they may nonetheless fail to gain sufficient market acceptance by physicians, patients, third-party payors and others in the medical community. If they do not achieve an adequate level of acceptance, we may not generate significant revenues and become profitable. The degree of market acceptance, if approved for commercial sale, will depend on a number of factors, including but not limited to:</w:t>
      </w:r>
    </w:p>
    <w:p>
      <w:pPr>
        <w:spacing w:after="0" w:line="18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tablet vaccine candidates for sale at competitive prices;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52"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medical community to offer customers our tablet vaccine candidate option in addition to, or in the place of, injectable vaccines;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tablet vaccine together with other medications.</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Because we expect sales of our tablet vaccine candidate for coronavirus and/or norovirus, if approved, to generate substantially all of our revenues for the foreseeable future, the failure of these tablet vaccines to achieve market acceptance would harm our business and could require us to seek additional financing sooner than we would otherwise plan.</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state and federal healthcare regulatory laws, we could face substantial penalties, damages, fines, disgorgement, exclusion from participation in governmental healthcare programs, and the curtailment of our operations, any of which could harm our business.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do not provide healthcare services or submit claims for third-party reimbursement, we are subject to healthcare fraud and abuse regulation and enforcement by federal and state governments, which could significantly impact our business. The laws that may affect our ability to operate include, but are not limited to:</w:t>
      </w:r>
    </w:p>
    <w:p>
      <w:pPr>
        <w:spacing w:after="0" w:line="176" w:lineRule="exact"/>
        <w:rPr>
          <w:sz w:val="20"/>
          <w:szCs w:val="20"/>
          <w:color w:val="auto"/>
        </w:rPr>
      </w:pPr>
    </w:p>
    <w:p>
      <w:pPr>
        <w:ind w:left="660" w:right="14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83"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p>
      <w:pPr>
        <w:spacing w:after="0" w:line="18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FCA, which imposes criminal fines or imprisonment against individuals or entities who make or present a claim to the government knowing such claim to be false, fictitious or fraudulent;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laws that prohibit executing a scheme to defraud any healthcare benefit program or making false statements relating to healthcare matters;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7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79"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FCA. Moreover, while we do not, and will not, submit claims and our customers will make the ultimate decision on how to submit claims, we may provide reimbursement guidance to our customers from time to time.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healthcare providers. Compensation for some of these arrangements includes the provision of stock options. While we have worked to structure our arrangements to comply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influence the ordering of and use our products to be in violation of applicable laws.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2"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the commercialization of any tablet vaccine candidates we may develop.</w:t>
      </w:r>
    </w:p>
    <w:p>
      <w:pPr>
        <w:spacing w:after="0" w:line="15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tablet vaccine candidates in human clinical trials and will face an even greater risk if we commercially sell any products that we may develop after approval. For instance, since our norovirus tablet challenge study is being conducted in healthy human volunteers, any adverse reactions could result in claims from these injuries and we could incur substantial liabilities. Regardless of merit or eventual outcome, liability claims may result in:</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tablet vaccine candidates that it may develop;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we may develop.</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up to $10 million per claim and in the aggregate, it may not be adequate to cover all liabilities that we may incur. Additionally, seasonal influenza is a covered vaccine of the National Vaccine Injury Compensation Program, and our participation in that program may require time and resources that impede product uptake, if approved. We anticipate that we will need to increase our insurance coverage as we continue clinical trials and if we successfully commercialize any products. Insurance coverage is increasingly expensive. We may not be able to maintain insurance coverage at a reasonable cost or in an amount adequate to satisfy any liability that may arise.</w:t>
      </w:r>
    </w:p>
    <w:p>
      <w:pPr>
        <w:sectPr>
          <w:pgSz w:w="11900" w:h="16838" w:orient="portrait"/>
          <w:cols w:equalWidth="0" w:num="1">
            <w:col w:w="11240"/>
          </w:cols>
          <w:pgMar w:left="320" w:top="121" w:right="339" w:bottom="636"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36"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product liability claim is successfully brought against us for uninsured liabilities, or such claim exceeds our insurance coverage, we could be forced to pay substantial damage awards that could materially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use of any of our existing or future product candidates in clinical trials and the sale of any approved pharmaceutical products may expose us to significant product liability claims. We currently have product liability insurance coverage for our ongoing clinical trials in the amount of up to $10 million. Further, we also require clinical research and manufacturing organizations that assist us in the conduct of our trials or manufacture materials used in these trials to carry product liability insurance against such claims. This insurance coverage may not protect us against any or all of the product liability claims that may be brought against us in the future. We may not be able to acquire or maintain adequate product liability insurance coverage at a commercially reasonable cost or in sufficient amounts or scope to protect ourselves against potential losses. In the event a product liability claim is brought against us, we may be required to pay legal and other expenses to defend the claim, as well as uncovered damage awards resulting from a claim brought successfully against us. In the event any of our product candidates are approved for sale by the FDA or similar regulatory authorities in other countries and commercialized, we may need to substantially increase the amount of our product liability coverage. Defending any product liability claim or claims could require us to expend significant financial and managerial resources, which could have an adverse effect on our business.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tablet vaccine candidates, if approved.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tablet vaccine candidates, and the cost of establishing and maintaining such an organization may exceed the cost-effectiveness of doing so. In order to market any tablet vaccine candidates that may be approved, we must build our sales, distribution, marketing, managerial and other non-technical capabilities or make arrangements with third parties to perform these services. To achieve commercial success for any tablet vaccine candidates for which we have obtained marketing approval, we will need a sales and marketing organization. While we expect to partner our tablet vaccine for seasonal influenza, we may build a focused sales, distribution and marketing infrastructure to market our other tablet vaccine candidates in the U.S.,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tablet vaccine candidate launch, which would adversely impact commercialization.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tablet vaccine candidates on our own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attain adequate numbers of physicians to administer our tablet vaccines;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intend to pursue collaborative arrangements regarding the sale and marketing of our tablet vaccine candidates, if approved, for certain international markets; however, we may not be able to establish or maintain such collaborative arrangements and, if able to do so, our collaborators may not have effective sales. To the extent that we depend on third parties for marketing and distribution, any revenues we receive will depend upon the efforts of such third parties, and we cannot assure you that such efforts will be successful.</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unable to build our own sales force in the U.S. or negotiate a collaborative relationship for the commercialization of our tablet vaccine candidates outside the U.S., we may be forced to delay the potential commercialization or reduce the scope of our sales and marketing activities. We could have to enter into arrangements with third parties at an earlier stage than we would otherwise choose and we may be required to relinquish rights to our intellectual property or otherwise agree to terms unfavorable to us, any of which may have an adverse effect on our business, operating results and prospects.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tablet vaccine candidates outside of the United States, a variety of risks associated with international operations could harm our business.</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our tablet vaccine candidates are approved for commercialization, we intend to enter into agreements with third parties to market them in certain jurisdictions outside the U.S. We expect that we will be subject to additional risks related to international operations or entering into international business relationships, including:</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and rules governing drug commercialization in foreign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the U.S. Foreign Corrupt Practices Act, the U.K. Bribery Act 2010 and similar anti-bribery and anticorruption laws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tablet vaccination shortages resulting from any events affecting raw material supply or manufacturing capabilities abroad; and</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both the European Union and many of the individual countries in Europe with which we will need to comply.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involvement may limit the commercial success of our tablet vaccine candidates.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Various government entities, including the U.S. government, are offering incentives, grants and contracts to encourage additional investment by commercial organizations into preventative and therapeutic agents against coronavirus and influenza, which may have the effect of increasing the number of competitors and/or providing advantages to known competitors. Accordingly, there can be no assurance that we will be able to successfully establish a competitive market share for our coronavirus or influenza vaccines.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addition, current influenza vaccines are generally trivalent (containing three strains) or quadrivalent (containing four strains). If the FDA requires or recommends changes in influenza vaccines, for example, for a monovalent vaccine or for use of a strain that is not currently circulating in the human population, it is uncertain whether we will be able to produce or manufacture such a vaccine at commercially reasonable rates.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target indications, in particular influenza, and competition from new products may cause unpredictable royalty revenues from Inavir and significant fluctuations in our operating results.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Influenza is seasonal in nature with sales of current vaccines occurring primarily in the first and fourth quarters of the calendar year. In addition, outbreaks of norovirus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earn royalty revenue from the net sales of Inavir, which is marketed by our licensee. Although the royalty rates paid to us by our licensees are fixed at a proportion of the licensee’s net sales of these products, our periodic and annual revenues from these royalties have historically been variable and subject to fluctuation based on the seasonal incidence and severity of influenza. It is the seasonality of influenza, which occurs mainly in the winter months, that causes our royalty revenue to be low in the second and third fiscal quarters, since our agreement with HealthCare Royalty Partners III, L.P. (see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 xml:space="preserve"> to our Consolidated Financial Statements on Part II, Item 8) has no impact on total revenue recognized, it only impacts our net cash flow in the quarter following revenue recognition. We cannot predict with any certainty what our royalty revenues are likely to be in any given year.</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our licensee may encounter competition from new products entering the market, including generic copies of Inavir, which could adversely affect our royalty income. The last patent related to Inavir is set to expire in August 2036 in Japan, at which time royalty revenue will cease. However, the patent covering the laninamivir octanoate compound expired in 2024, at which time generic competition may enter the market, potentially decreasing or eliminating the royalties received. On February 23, 2018, Osaka-based drug maker Shionogi &amp; Co., Ltd. gained marketing approval for Xofluza, a new drug to treat influenza in Japan. The drug was approved for use against type A and B influenza viruses and requires only a single dose regardless of age. Xofluza has gained significant market share from Inavir in Japan, substantially reducing the sales of Inavir. This will significantly decrease the royalty payments we receive from Daiichi Sankyo Company, Limited.</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largely upon our ability to advance our product candidates through the various stages of drug development. If we are unable to successfully advance or develop our product candidates, our business will be materially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though we generate royalty revenue from a commercialized influenza product, all of our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our product candidates may have a material adverse effect on our business. For example, the Phase 2 trial of teslexivir, a product acquired through the merger with Aviragen, was costly and diverted resources from our other product candidates and did not achieve the primary efficacy endpoint, resulting in abandonment of development activities. The long-term success of our business ultimately depends upon our ability to advance the development of our product candidates through preclinical studies and clinical trials, appropriately formulate and consistently manufacture them in accordance with strict specifications and regulations, obtain approval of our product candidates for sale by the FDA or similar regulatory authorities in other countries, and ultimately have our product candidates successfully commercialized, either by us or by a strategic partner or licensee. We cannot be sure that the results of our ongoing or future research, preclinical studies or clinical trials will support or justify the continued development of our product candidates, or that we will ultimately receive approval from the FDA, or similar regulatory authorities in other countries, to advance the development of our product candidates</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21" w:right="339" w:bottom="744"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44"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product candidates must satisfy rigorous regulatory standards of safety, efficacy and manufacturing before we can advance or complete their development and before they can be approved for sale by the FDA or similar regulatory authorities in other countries. To satisfy these standards, we must engage in expensive and lengthy studies and clinical trials, develop acceptable and cost-effective manufacturing processes, and obtain regulatory approval of our product candidates. Despite these efforts, our product candidates may not:</w:t>
      </w:r>
    </w:p>
    <w:p>
      <w:pPr>
        <w:spacing w:after="0" w:line="180" w:lineRule="exact"/>
        <w:rPr>
          <w:sz w:val="20"/>
          <w:szCs w:val="20"/>
          <w:color w:val="auto"/>
        </w:rPr>
      </w:pPr>
    </w:p>
    <w:p>
      <w:pPr>
        <w:ind w:left="660" w:right="1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clinically meaningful therapeutic or other medical benefits as compared to a patient receiving no treatment or over existing drugs or other product candidates in development to treat the same patient population;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shown to be safe and effective in future preclinical studies or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desired therapeutic or medical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tolerable or free from undesirable or unexpected side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capable of being appropriately formulated and manufactured in commercially suitable quantities or scale and at an acceptable cost;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successfully commercialized, either by us or by our licensees or collaborators.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demonstrate favorable results in preclinical studies and early-stage clinical trials, we cannot be sure that the results of late-stage clinical trials will be sufficient to support the continued development of our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our product candidates may not be predictive of the results we may obtain in future late-stage trials. Furthermore, even if the data collected from preclinical studies and clinical trials involving any of our product candidates demonstrate a satisfactory safety, tolerability and efficacy profile, such results may not be sufficient to obtain regulatory approval from the FDA in the U.S., or other similar regulatory agencies in other jurisdictions, which is required to market and sell the product.</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actual or perceived therapeutic benefits, or the safety or tolerability profile of any of our product candidates are not equal to or superior to other competing treatments approved for sale or in clinical development, we may terminate the development of any of our product candidates at any time, and our business prospects and potential profitability could be harmed.</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are aware of a number of companies marketing or developing various classes of anti-infective product candidates or products for the treatment of patients infected with HPV that are either approved for sale or further advanced in clinical development than ours, such that their time to approval and commercialization may be shorter than that for our product candidates.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at any time we believe that any of our product candidates may not provide meaningful or differentiated therapeutic benefits, perceived or real, equal to or better than our competitors’ products or product candidates, or we believe that our product candidates may not have as favorable a safety or tolerability profile as potentially competitive compounds, we may delay or terminate the future development of any of our product candidates. We cannot provide any assurance that the future development of any of our product candidates will demonstrate any meaningful therapeutic benefits over potentially competitive compounds currently approved for sale or in development, or an acceptable safety or tolerability profile sufficient to justify their continued development.</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exhibit undesirable side effects when used alone or in combination with other approved pharmaceutical products, which may delay or preclude their development or regulatory approval or limit their use if ever approved.</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Throughout the drug development process, we must continually demonstrate the activity, safety and tolerability of our product candidates in order to obtain regulatory approval to further advance their clinical development, or to eventually market them. Even if our product candidates demonstrate adequate biologic activity and clear clinical benefit, any unacceptable side effects or adverse events, when administered alone or in the presence of other pharmaceutical products, may outweigh these potential benefits. We may observe adverse or serious adverse events or drug-drug interactions in preclinical studies or clinical trials of our product candidates, which could result in the delay or termination of their development, prevent regulatory approval, or limit their market acceptance if they are ultimately approved.</w:t>
      </w:r>
    </w:p>
    <w:p>
      <w:pPr>
        <w:spacing w:after="0" w:line="183"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results from preclinical studies or clinical trials of our product candidates, including those that are subject to existing or future license or collaboration agreements, are unfavorable, we could be delayed or precluded from the further development or commercialization of our product candidates, which could materially harm our business.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further advance the development of, and ultimately receive marketing approval to sell our product candidates, we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we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sectPr>
          <w:pgSz w:w="11900" w:h="16838" w:orient="portrait"/>
          <w:cols w:equalWidth="0" w:num="1">
            <w:col w:w="11240"/>
          </w:cols>
          <w:pgMar w:left="320" w:top="121" w:right="339" w:bottom="87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79"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may experience numerous unforeseen events during, or as a result of, preclinical studies and the clinical trial process, which could delay or impede our ability to advance the development of, receive marketing approval for, or commercialize our product candidates, including, but not limited to:</w:t>
      </w:r>
    </w:p>
    <w:p>
      <w:pPr>
        <w:spacing w:after="0" w:line="162" w:lineRule="exact"/>
        <w:rPr>
          <w:sz w:val="20"/>
          <w:szCs w:val="20"/>
          <w:color w:val="auto"/>
        </w:rPr>
      </w:pPr>
    </w:p>
    <w:p>
      <w:pPr>
        <w:ind w:left="660" w:right="14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not authorizing us to commence or conduct a clinical trial at a prospective trial site;</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being delayed, or proceeding at a slower pace than we expected, because we have difficulty recruiting participants or participants drop out of our clinical trials at a higher rate than we anticipated;</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upon whom we rely to conduct preclinical studies, clinical trials and the manufacturing of our clinical trial materials, failing to comply with regulatory requirements or meet their contractual obligations to us in a timely manner;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suspend or ultimately terminate a clinical trial if participants are being exposed to unacceptable health or safety risks;</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IRBs requiring that we hold, suspend or terminate our preclinical studies and clinical trials for various reasons, including non-compliance with regulatory requirements;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 necessary to conduct our preclinical studies or clinical trials being insufficient, inadequate or unavailable.</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 if the data collected from preclinical studies or clinical trials involving our product candidates demonstrate a satisfactory tolerability, safety and efficacy profile, such results may not be sufficient to support the submission of a BLA or NDA to obtain regulatory approval from the FDA in the U.S., or other similar regulatory authorities in other foreign jurisdictions, which is required for us to market and sell our product candidates.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capacity for managing clinical trials, which could delay or impair our ability to initiate or complete clinical trials of our product candidates on a timely basis and materially harm our business.</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 limited capacity to recruit and manage all of the clinical trials necessary to obtain approval for our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we are attempting to recruit for our clinical trials. As a result, we may be at a competitive disadvantage that could delay the initiation, recruitment, timing and completion of our clinical trials and obtaining of marketing approvals, if achieved at all, for our product candidates.</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subject to rapid technological changes. As a result, we may be unable to compete successfully or develop innovative or differentiated products, which could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industry is highly competitive and characterized by rapid technological change. Key competitive factors in our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our product candidates; relative manufacturing costs; establishing, maintaining and protecting our intellectual property and patent rights; and sales and marketing capabilities.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our product candidates, have substantially more resources than us, as well as much greater capabilities and experience than we have in research and discovery, designing and conducting preclinical studies and clinical trials, operating in a highly regulated environment, formulating and manufacturing drug substances, products and devices, and marketing and sales. Our competitors may be more successful than us in obtaining regulatory approvals for their product candidates and achieving broad market acceptance once they are approved. Our competitors’ products or product candidates may be more effective, have fewer adverse effects, be more convenient to administer, have a more favorable resistance profile, or be more effectively marketed and sold than any product that we, or our potential future licensees or collaborators, may develop or commercialize. New drugs or classes of drugs from competitors may render our product candidates obsolete or non-competitive before we are able to successfully develop them or, if approved, before we can recover the expenses of developing and commercializing them. We anticipate that we, or our potential future licensees or collaborators, will face intense and increasing competition as new drugs and drug classes enter the market and advanced technologies or new drug targets become available. If our product candidates do not demonstrate any meaningful competitive advantages over existing products, or new products or product candidates, we may terminate the development or commercialization of our product candidates at any time.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competitors, either alone or with their collaborators, may succeed in developing product candidates or products that are more effective, safer, less expensive or easier to administer than ours. Accordingly, our competitors may succeed in obtaining regulatory approval for their product candidates more rapidly than we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face, and expect that we will continue to face, intense competition from other companies in a number of other areas, including (i) attracting larger pharmaceutical and biopharmaceutical companies to enter into collaborative arrangements with us to acquire, license or co-develop our product candidates,</w:t>
      </w:r>
    </w:p>
    <w:p>
      <w:pPr>
        <w:jc w:val="both"/>
        <w:ind w:right="140" w:firstLine="8"/>
        <w:spacing w:after="0" w:line="253"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obtaining additional clinical-stage development programs to bolster our pipeline, (iii) attracting investigators and clinical sites capable of conducting our clinical trials, and (iv) recruiting patients to participate in our clinical trials. There can be no assurance that product candidates resulting from our research and development efforts, or from joint efforts with our potential future licensees or collaborators, will be able to compete successfully with our competitors’ existing products or product candidates in development.</w:t>
      </w:r>
    </w:p>
    <w:p>
      <w:pPr>
        <w:sectPr>
          <w:pgSz w:w="11900" w:h="16838" w:orient="portrait"/>
          <w:cols w:equalWidth="0" w:num="1">
            <w:col w:w="11220"/>
          </w:cols>
          <w:pgMar w:left="320" w:top="121" w:right="359" w:bottom="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21" w:right="359" w:bottom="0" w:gutter="0" w:footer="0" w:header="0"/>
          <w:type w:val="continuous"/>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develop a product candidate that is the subject of an existing or future license agreement or collaboration if our licensee or collaborator does not perform or fulfill its contractual obligations, delays the development of our product candidate, or terminates the agreement.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to continue to enter into and rely on license and collaboration agreements in the future, or other similar business arrangements with third parties, to further develop and/or commercialize some or all of our existing and future product candidates. Such licensees or collaborators may not perform as agreed upon or anticipated, may fail to comply with strict regulations, or may elect to delay or terminate their efforts in developing or commercializing our product candidates even though we have met our obligations under the arrangement.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majority of the potential revenue from existing and any future licenses and collaborations we may enter into will likely consist of contingent milestone payments, such as payments received for achieving development or regulatory milestones, and royalties payable on the sales of approved products. Milestone and royalty revenues that we may receive under these licenses and collaborations will depend primarily upon our licensees’ or collaborators’ ability to successfully develop and commercialize our product candidates. In addition, our licensees or collaborators may decide to enter into arrangements with third parties to commercialize products developed under our existing or future collaborations using our technologies, which could reduce the milestone and royalty revenue that we may receive, if any. In many cases, we will not be directly or closely involved in the development or commercialization of our product candidates that are subject to licenses or collaborations and, accordingly, we will depend largely on our licensees or collaborators to develop or commercialize our product candidates. Our licensees may encounter competition from new products entering the market, which could adversely affect our royalty income. Our licensees or collaborators may fail to develop or effectively commercialize our product candidates because they:</w:t>
      </w:r>
    </w:p>
    <w:p>
      <w:pPr>
        <w:spacing w:after="0" w:line="194" w:lineRule="exact"/>
        <w:rPr>
          <w:sz w:val="20"/>
          <w:szCs w:val="20"/>
          <w:color w:val="auto"/>
        </w:rPr>
      </w:pPr>
    </w:p>
    <w:p>
      <w:pPr>
        <w:jc w:val="both"/>
        <w:ind w:left="660" w:right="1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p>
      <w:pPr>
        <w:spacing w:after="0" w:line="175"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sufficient resources necessary to fully support the product candidate through clinical development, regulatory approval and commercialization;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regulatory approvals; or</w:t>
      </w:r>
    </w:p>
    <w:p>
      <w:pPr>
        <w:spacing w:after="0" w:line="25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other programs or otherwise diminish their support for developing and/or marketing our product candidate or product due to a change in management, business operations or strategy.</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Should any of these events occur, we may not realize the full potential or intended benefit of our license or collaboration arrangements, and our results of operations may be adversely affected. In addition, a licensee or collaborator may decide to pursue the development of a competitive product candidate developed outside of our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our product candidates for any of these reasons, we may not be able to replace them with another third party willing to develop and commercialize our product candidates under similar terms, if at all. Similarly, we may disagree with a licensee or collaborator as to which party owns newly or jointly-developed intellectual property. Should an agreement be revised or terminated as a result of a dispute and before we have realized the anticipated benefits of the arrangement, we may not be able to obtain certain development support or revenues that we anticipated receiving. We may also be unable to obtain, on terms acceptable to us, a license from such collaboration partner to any of its intellectual property that may be necessary or useful for us to continue to develop and commercialize the product candidate. There can be no assurance that any product candidates will emerge from any existing or future license or collaboration agreements we may enter into for any of our product candidates.</w:t>
      </w:r>
    </w:p>
    <w:p>
      <w:pPr>
        <w:spacing w:after="0" w:line="18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third-party payers fail to provide adequate reimbursement or coverage for our products or those that are developed through licenses or collaborations, our revenues and potential for profitability may be harmed.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U.S. and most foreign markets, product revenues or related royalty revenue, and therefore the inherent value of our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We, or our licensees or collaborators if applicable, may also be required to conduct post-marketing clinical trials in order to demonstrate the cost-effectiveness of our products. Such studies may require us to commit a significant amount of management time and financial resources. There can be no assurance that any products that we or our licensees or collaborators may successfully develop will be reimbursed in part, or at all, by any third-party payers in any country.</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governments continue to propose legislation designed to expand the coverage, yet reduce the cost, of healthcare, including pharmaceutical products. In many foreign markets, governmental agencies control the pricing of prescription drugs. In the U.S., significant changes in federal health care policy were approved over the past several years and continue to evolve and will likely result in reduced reimbursement rates for many pharmaceutical products in the future. We expect that there will continue to be federal and state proposals to implement increased government control over reimbursement rates of pharmaceutical products. In addition, we expect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Our revenue and future profitability could be negatively affected if these inquiries were to result in legislative or regulatory proposals that limit our ability to increase the prices of our products that may be approved for sale in the future. Legislation and regulations affecting the pricing of pharmaceutical products may change before our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decreases in the price of our products.</w:t>
      </w:r>
    </w:p>
    <w:p>
      <w:pPr>
        <w:sectPr>
          <w:pgSz w:w="11900" w:h="16838" w:orient="portrait"/>
          <w:cols w:equalWidth="0" w:num="1">
            <w:col w:w="11240"/>
          </w:cols>
          <w:pgMar w:left="320" w:top="121" w:right="339" w:bottom="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candidates that we develop independently, or through licensees or collaborators if applicable, are approved but do not gain meaningful acceptance in their intended markets, we are not likely to generate significant revenues.</w:t>
      </w:r>
    </w:p>
    <w:p>
      <w:pPr>
        <w:spacing w:after="0" w:line="1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Even if our product candidates are successfully developed and we or a licensee or collaborator obtains the requisite regulatory approvals to market them in the future, they may not gain market acceptance or broad utilization among physicians, patients or third-party payers. The degree of market acceptance that any of our products may achieve will depend on a number of factors, including:</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or perceived clinical benefit of the product, if any, relative to existing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approval and the existing market for competitive drugs, including the presence of generic drugs;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provided by third-party payers to cover the cost of the product to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cost of the product to the user or third-party payer;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of the product;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potential advantages over existing or alternative therapies;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safety of similar classes of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existence, incidence and severity of adverse effects;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capabilities;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product label approved by the FDA or similar regulatory agencies in other jurisdictions.</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physicians will choose to prescribe or administer our products, if approved, to the intended patient population. If our products do not achieve meaningful market acceptance, or if the market for our products proves to be smaller than anticipated, we may never generate significant revenues.</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20, 2025, President Trump signed an executive order creating an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staffing levels and the funding for the FDA. Disruptions at the FDA and other agencies due to these policies may slow the time necessary for new drugs to be reviewed and/or approved by necessary government agencies, which would adversely affect our business. For example, over the past decade, the U.S. government has shut down, at least partially,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could delay or prevent the development, approval, manufacturing, or any eventual commercialization of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depend on third-party collaborators, service providers, and others in the research, development, manufacturing, and any eventual commercialization of our product candidates. We rely heavily on these parties for multiple aspects of our drug development and manufacturing activities and anticipate that we will rely on third parties for commercialization activities including testing of our product candidates. We have very limited control over many aspects of those activities. Failure by one or more of the third-party collaborators, service providers, or others to complete activities on schedule or in accordance with our expectations or to meet their contractual or other obligations to us; failure of one or more of these parties to comply with applicable laws or regulations; or any disruption in the relationships between us and these parties, could delay or prevent the development, approval, manufacturing, or any eventual commercialization of our product candidates, expose us to suboptimal quality of service delivery or deliverables, result in repercussions such as missed deadlines or other timeliness issues, erroneous data and supply disruptions, and could also result in non-compliance with legal or regulatory requirements or industry standards or subject us to reputational harm, all with potential negative implications for our product pipeline and business.</w:t>
      </w:r>
    </w:p>
    <w:p>
      <w:pPr>
        <w:spacing w:after="0" w:line="184"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manufacturers for certain portions of our manufacturing process. If third-party contract manufacturers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ectPr>
          <w:pgSz w:w="11900" w:h="16838" w:orient="portrait"/>
          <w:cols w:equalWidth="0" w:num="1">
            <w:col w:w="11240"/>
          </w:cols>
          <w:pgMar w:left="320" w:top="121" w:right="339" w:bottom="339"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39"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To the extent that we rely on third-party contract manufacturers, which in some cases may be sole sourced, we are exposed to a number of risks, any of which could delay or prevent the completion of our preclinical studies or clinical trials, or the regulatory approval or commercialization of our product candidates, result in higher costs, or deprive us of potential product revenues in the future. Some of these risks include, but are not limited to:</w:t>
      </w:r>
    </w:p>
    <w:p>
      <w:pPr>
        <w:spacing w:after="0" w:line="176" w:lineRule="exact"/>
        <w:rPr>
          <w:sz w:val="20"/>
          <w:szCs w:val="20"/>
          <w:color w:val="auto"/>
        </w:rPr>
      </w:pPr>
    </w:p>
    <w:p>
      <w:pPr>
        <w:ind w:left="660" w:right="1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develop an acceptable formulation to support late-stage clinical trials for, or the commercialization of, our product candidates;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manufacture our product candidates according to their own standards, our specifications, cGMP, or regulatory guidelines, or otherwise manufacturing material that we or regulatory authorities deem to be unsuitable for our clinical trials or commercial use;</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being unable to increase the scale of or the capacity for, or reformulate the form of, our product candidates, which may cause us to experience a shortage in supply or cause the cost to manufacture our product candidates to increase. There can be no assurance that our potential contract manufacturers will be able to manufacture our product candidates at a suitable commercial scale, or that we will be able to find alternative manufacturers acceptable to us that can do so;</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placing a priority on the manufacture of other customers’ or their own products, rather than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failing to perform as agreed or exiting from the contract manufacturing business;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contract manufacturers’ plants being closed as a result of regulatory sanctions or a natural disaster.</w:t>
      </w:r>
    </w:p>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Manufacturers of pharmaceutical drug products are subject to ongoing periodic inspections by the FDA, the U.S. Drug Enforcement Administration, or DEA, and corresponding state and other foreign agencies to ensure strict compliance with FDA-mandated cGMP, other government regulations and corresponding foreign standards. We do not have control over our third-party contract manufacturers’ compliance with these regulations and standards and accordingly, failure by our third-party manufacturers, or us, to comply with applicable regulations could result in sanctions being imposed on us or our manufacturers, which could significantly and adversely affect our business.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need to change a third-party contract manufacturer, our preclinical studies or our clinical trials, and the commercialization of our product candidates could be delayed, adversely affected or terminated, or such a change may result in the need for us to incur significantly higher costs, which could materially harm our business.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of time and a delay, as well as an increase in costs, in the development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manufacture our product candidates in sufficient quantities to commercialize them.</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order to receive FDA approval of our product candidates, we will need to manufacture such product candidates in larger quantities. We may not be able to successfully increase the manufacturing capacity for our product candidates in a timely or economic manner, or at all. In the event FDA approval is received, we will need to increase production of our product candidates. Significant scale-up of manufacturing may require additional validation studies, which the FDA must review and approve. If we are unable to successfully increase the manufacturing capacity for our product candidates, the clinical trials, the regulatory approval and the commercial launch of our product candidates may be delayed, or there may be a shortage in supply. Our product candidates require precise, high-quality manufacturing. Failure to achieve and maintain high-quality manufacturing, including the incidence of manufacturing errors, could result in patient injury or death, delays or failures in testing or delivery, cost overruns or other problems that could harm our business,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pharmaceutical products in compliance with cGMP regulations requires significant expertise and capital investment, including the development of advanced manufacturing techniques and process controls.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Manufacturers of pharmaceutical products often encounter difficulties in production, including difficulties with production costs and yields, quality control, including stability of the product candidates and quality assurance testing, or shortages of qualified personnel. If we were to encounter any of these difficulties or otherwise fail to comply with our obligations under applicable regulations, our ability to provide study materials in our clinical trials would be jeopardized. Any delay or interruption in the supply of clinical trial materials could delay the completion of our clinical trials, increase the costs associated with maintaining our clinical trial programs and, depending upon the period of delay, require us to commence new trials at significant additional expense or to terminate the studies and trials completely.</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must comply with cGMP requirements enforced by the FDA through its facilities inspection program. These requirements include, among other things, quality control, quality assurance and the maintenance of records and documentation. Manufacturers of our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our failure, or that our third-party manufacturers, to adhere to applicable laws or for other reasons, we may not be able to obtain regulatory approval for or successfully commercialize our products, and we may be held liable for any injuries sustained as a result. Any of these factors could cause a delay of clinical trials, regulatory submissions, approvals or commercialization of any product candidates we may develop or acquire in the future, or entail higher costs, or impair our reputation.</w:t>
      </w:r>
    </w:p>
    <w:p>
      <w:pPr>
        <w:sectPr>
          <w:pgSz w:w="11900" w:h="16838" w:orient="portrait"/>
          <w:cols w:equalWidth="0" w:num="1">
            <w:col w:w="11240"/>
          </w:cols>
          <w:pgMar w:left="320" w:top="121" w:right="339" w:bottom="96"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6"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single source vendors for key tablet vaccine components and certain strains needed in our tablet vaccine candidates, which could impair our ability to manufacture and supply our tablet vaccine candidates.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currently depend on single source vendors for certain raw materials used in the manufacture of our tablet vaccine candidates. Any production shortfall that impairs the supply of the relevant raw materials could have a material adverse effect on our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materially adversely affect our operating results or our ability to conduct clinical trials, either of which could significantly harm our business.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it may harm our business.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and we expect to have limited influence over their actual performance.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rely 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these regulatory responsibilities.</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and our CROs are required to comply with the Good Laboratory Practice and GCP,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enough subjects, we may be required to repeat clinical trials, which would delay the regulatory approval process.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cannot control whether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significant revenues could be delayed.</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While we endeavor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selectively establish collaborations and, if we are unable to establish them on commercially reasonable terms, we may have to alter our development and commercialization plans.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including our seasonable influenza tablet, we may decide to collaborate with governmental entities or additional pharmaceutical and biotechnology companies for the development and potential commercialization of those product candidates.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83" w:lineRule="exact"/>
        <w:rPr>
          <w:sz w:val="20"/>
          <w:szCs w:val="20"/>
          <w:color w:val="auto"/>
        </w:rPr>
      </w:pPr>
    </w:p>
    <w:p>
      <w:pPr>
        <w:ind w:left="660" w:right="8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FCA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as amended by the Health Information Technology for Economic and Clinical Health Act, imposes criminal and civil liability for executing a scheme to defraud any healthcare benefit program and imposes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additional strategic partnerships, which could adversely affect our ability to develop and commercialize products, negatively impacting our operating results.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continue to strategically evaluate our partnerships and, as appropriate, we expect to enter into additional strategic partnerships in the future, including potentially with major biotechnology or biopharmaceutical companies. 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Even if we are successful in our efforts to establish strategic partnerships, the terms that we agree upon may not be favorable to us, and we may not be able to maintain such strategic partnerships if, for example, development or approval of a product candidate is delayed or sales of an approved product are disappointing. Any delay in entering into strategic partnership agreements related to our product candidates could delay the development and commercialization of such candidates and reduce their competitiveness even if they reach the market. If we are not able to generate revenue under our strategic partnerships when and in accordance with our expectations or the expectations of industry analysts, this failure could harm our business and have an immediate adverse effect on the trading price of our common stock.</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fail to establish and maintain additional strategic partnerships related to our unpartnered product candidates, we will bear all the risks and costs related to the development of any such product candidate, and we may need to seek additional financing, hire additional employees and otherwise develop expertise, such as regulatory expertise, for which we have not budgeted. If we were not successful in seeking additional financing, hiring additional employees or developing additional expertise, our cash burn rate would increase or we would need to take steps to reduce our rate of product candidate development. This could negatively affect the development of any unpartnered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or acquisitions we have made or may make could turn out to be unsuccessful.</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part of our strategy, we monitor and analyze strategic partnership or acquisition opportunities that we believe will create value for our stockholders. We may acquire companies, businesses, products and technologies that complement or augment our existing business; however, such acquisitions could involve numerous risks that may prevent us from fully realizing the benefits that we anticipated as a result of such transactions.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not be able to integrate any acquired business successfully or operate any acquired business profitably. In addition, integrating any newly acquired business could be expensive and time-consuming, place a significant strain on managerial, operational and financial resources and could prove to be more difficult or expensive than we predict. The diversion of our management's attention and any delay or difficulties encountered in connection with any future acquisitions we may consummate could result in the disruption of our ongoing business or inconsistencies in standards and controls that could negatively affect our ability to maintain third-party relationships.</w:t>
      </w:r>
    </w:p>
    <w:p>
      <w:pPr>
        <w:sectPr>
          <w:pgSz w:w="11900" w:h="16838" w:orient="portrait"/>
          <w:cols w:equalWidth="0" w:num="1">
            <w:col w:w="11220"/>
          </w:cols>
          <w:pgMar w:left="320" w:top="121" w:right="359" w:bottom="825"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2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fail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also be subject to liabilities, including unanticipated litigation costs, that are not covered by indemnification protection we may obtain. As we pursue strategic transactions, we may value the acquired company or partner incorrectly, fail to successfully manage our operations as our asset diversity increases, expend unforeseen costs during the acquisition or integration process, or encounter other unanticipated risks or challenges. We may fail to value a partnership or acquisition accurately, properly account for it in our consolidated financial statements, or successfully divest it or otherwise realize the value which we originally anticipated or have subsequently reflected in our consolidated financial statements.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Moreover, we may need to raise additional funds through public or private debt or equity financing, or issue additional shares, to acquire any businesses or products, which may result in dilution for stockholders or the incurrence of indebtedness.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Any failure by us to effectively limit such risks as we implement our strategic partnership or acquisitions could have a material adverse effect on our business, financial condition or results of operations and may negatively impact our net income and cause the price of our securities to fall.</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a third-party contract manufacturer cannot timely supply sufficient bulk vaccine to allow us to manufacture our vaccine tablets, our preclinical studies or our clinical trial</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the commercialization of our product candidates could be delayed, adversely affected or terminated, or may result in the need for us to incur significantly higher costs, which could materially harm 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 consuming, which could result in our inability to manufacture our product candidates for an extended period and a delay in the development of our product candidates. Further, in order to maintain our development timelines in the event of a change in a third-party contract manufacturer, we may incur significantly higher costs to manufacture our product candidates.</w:t>
      </w:r>
    </w:p>
    <w:p>
      <w:pPr>
        <w:spacing w:after="0" w:line="18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third-party vendors, upon whom we rely to conduct our preclinical studies or clinical trials, do not perform or fail to comply with strict regulations, these studies or trials may be delayed, terminated, or fail, or we could incur significant additional expenses, which could materially harm our business.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limited resources dedicated to designing, conducting and managing our preclinical studies and clinical trials. We have historically relied on, and intend to continue to rely on, third parties, including clinical research organizations, consultants and principal investigators, to assist us in designing, managing, conducting, monitoring and analyzing the data from our preclinical studies and clinical trials. We rely on these vendors and individuals to perform many facets of the clinical development process on our behalf, including conducting preclinical studies, the recruitment of sites and patients for participation in our clinical trials, maintenance of good relations with the clinical sites, and ensuring that these sites are conducting our trials in compliance with the trial protocol and applicable regulations. If these third parties fail to perform satisfactorily, or do not adequately fulfill their obligations under the terms of our agreements with them, we may not be able to enter into alternative arrangements without undue delay or additional expenditures, and therefore the preclinical studies and clinical trials of our product candidates may be delayed or prove unsuccessful.</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Further, the FDA, or similar regulatory authorities in other countries, may inspect some of the clinical sites participating in our clinical trials or our third-party vendors’ sites to determine if our clinical trials are being conducted according to GCP or similar regulations. If we, or a regulatory authority, determine that our third-party vendors are not in compliance with, or have not conducted our clinical trials according to, applicable regulations, we may be forced to exclude certain data from the results of the trial, or delay, repeat or terminate such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We seek to protect our proprietary position by filing patent applications in the U.S. and abroad related to our development programs and product candidates. The patent prosecution process is expensive and time-consuming, and we may not be able to file and prosecute all necessary or desirable patent applications, or maintain and enforce any patents that may issue from such patent applications, at a reasonable cost or in a timely manner.</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The patent applications that we own may fail to result in issued patents with claims that cover any of our product candidates in the U.S. or in other countries. There is no assurance that the entire potentially relevant prior art relating to our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spacing w:after="0" w:line="19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the patent applications we hold with respect to our platform technology and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drugs. Any such outcome could harm our business.</w:t>
      </w:r>
    </w:p>
    <w:p>
      <w:pPr>
        <w:sectPr>
          <w:pgSz w:w="11900" w:h="16838" w:orient="portrait"/>
          <w:cols w:equalWidth="0" w:num="1">
            <w:col w:w="11220"/>
          </w:cols>
          <w:pgMar w:left="320" w:top="121" w:right="359" w:bottom="825"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2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U.S. For example, European patent law restricts the patentability of methods of treatment of the human body more than U.S. law does.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vaccines.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 Changes in either the patent laws or interpretation of the patent laws in the U.S. and other countries may diminish the value of our patents or narrow the scope of our patent protection.</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several significant changes to U.S.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notably,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we may be subject to a third-party pre-issuance submission of prior art to the U.S. Patent and Trademark Office (“USPTO”) or become involved in derivation, reexamination, inter partes review, post-grant review or interference proceedings challenging our patent rights or the patent rights of others. In other countries, we may be subject to or become involved in opposition proceedings challenging our patent rights or the patent rights of others. An adverse determination in any such submission or proceeding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tablet vaccines, or limit the duration of the patent protection of our technology and product candidates. Moreover, patents have a limited lifespan. In the U.S. and other countries, the natural expiration of a patent is generally 20 years after it is filed. Various extensions may be available, however, the life of a patent, and the protection it affords, is limited. Without patent protection for our current or future tablet vaccine candidates, we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such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third-party may also cause the third-party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ectPr>
          <w:pgSz w:w="11900" w:h="16838" w:orient="portrait"/>
          <w:cols w:equalWidth="0" w:num="1">
            <w:col w:w="11240"/>
          </w:cols>
          <w:pgMar w:left="320" w:top="121" w:right="339" w:bottom="1041"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will largely depend on our ability to operate without infringing the patents and other proprietary intellectual property rights of third parties. This is generally referred to as having the “freedom to operate.” However, our research, development and commercialization activities may be subject to claims that we infringe or otherwise violate patents or other intellectual property rights owned or controlled by third parties.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current or future product candidates may be subject to claims of infringement of the patent rights of third parties.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U.S. and internationally, involve complex legal and factual questions. As a result, such proceedings are lengthy, costly and time-consuming, and their outcome is highly uncertain. We may become involved in protracted and expensive litigation in order to determine the enforceability, scope and validity of the proprietary rights of others, or to determine whether we have the freedom to operate with respect to the intellectual property rights of others.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Patent applications in the U.S. are, in most cases, maintained in secrecy until approximately 18 months after the patent application is filed. The publication of discoveries in scientific or patent literature frequently occurs substantially later than the date on which the underlying discoveries were made. Therefore, patent applications relating to product candidates similar to ours may have already been filed by others without our knowledge. In the event that a third party has also filed a patent application covering our product candidate or other claims, we may have to participate in an adversarial proceeding, known as an interference proceeding, in the USPTO, or similar proceedings in other countries, to determine the priority of invention. In the event an infringement claim is brought against us, we may be required to pay substantial legal fees and other expenses to defend such a claim and, should we be unsuccessful in defending the claim, we may be prevented from pursuing the development and commercialization of a product candidate and may be subject to injunctions and/or damage awards.</w:t>
      </w:r>
    </w:p>
    <w:p>
      <w:pPr>
        <w:spacing w:after="0" w:line="200" w:lineRule="exact"/>
        <w:rPr>
          <w:sz w:val="20"/>
          <w:szCs w:val="20"/>
          <w:color w:val="auto"/>
        </w:rPr>
      </w:pP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future, the USPTO or a foreign patent office may grant patent rights to our product candidates or other claims to third parties. Subject to the issuance of these future patents, the claims of which will be unknown until issued, we may need to obtain a license or sublicense to these rights in order to have the appropriate freedom to further develop or commercialize them. Any required licenses may not be available to us on acceptable terms, if at all. If we need to obtain such licenses or sublicenses, but are unable to do so, we could encounter delays in the development of our product candidates, or be prevented from developing, manufacturing and commercializing our product candidates at all. If it is determined that we have infringed an issued patent and do not have the freedom to operate, we could be subject to injunctions, and/or compelled to pay significant damages, including punitive damages. In cases where we have in-licensed intellectual property, our failure to comply with the terms and conditions of such agreements could harm our business.</w:t>
      </w:r>
    </w:p>
    <w:p>
      <w:pPr>
        <w:spacing w:after="0" w:line="200" w:lineRule="exact"/>
        <w:rPr>
          <w:sz w:val="20"/>
          <w:szCs w:val="20"/>
          <w:color w:val="auto"/>
        </w:rPr>
      </w:pPr>
    </w:p>
    <w:p>
      <w:pPr>
        <w:spacing w:after="0" w:line="2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It is becoming common for third parties to challenge patent claims on any successfully developed product candidate or approved drug. If we or our licensees or collaborators become involved in any patent litigation, interference or other legal proceedings, we could incur substantial expense, and the efforts and attention of our technical and management personnel could be significantly diverted. A negative outcome of such litigation or proceedings may expose us to the loss of our proprietary position or to significant liabilities or require us to seek licenses that may not be available from third parties on commercially acceptable terms, if at all. We may be restricted or prevented from developing, manufacturing and selling our product candidates in the event of an adverse determination in a judicial or administrative proceeding, or if we fail to obtain necessary licenses.</w:t>
      </w:r>
    </w:p>
    <w:p>
      <w:pPr>
        <w:spacing w:after="0" w:line="183"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procedures, documentary fee payments and other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and our licensors fail to maintain the patents and patent applications covering our product candidates, our competitive position would be adversely affected.</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 candidates throughout the world would be prohibitively expensive. Competitors may use our technologies in jurisdictions where we have not obtained patent protection to develop their own vaccines and, further, may export otherwise infringing vaccines to territories where we may obtain patent protection, but where patent enforcement is not as strong as that in the U.S. These vaccines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other biotechnology or pharmaceutical companies.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it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in part by entering into confidentiality agreements with third parties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9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vaccines and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8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ectPr>
          <w:pgSz w:w="11900" w:h="16838" w:orient="portrait"/>
          <w:cols w:equalWidth="0" w:num="1">
            <w:col w:w="11240"/>
          </w:cols>
          <w:pgMar w:left="320" w:top="121" w:right="339" w:bottom="177"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the appeal of the opposition proceeding of a Vaxart European patent in the European Patent Office is completed, we must now obtain approval of the specification conformed to the new claims and it is possible this will be delayed and would delay revalidation of the patent in various European countries. If revalidation of the application was delayed, we may be delayed in asserting the patent to prevent others in Europe from copying some of our product candidates.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recently concluded the appeal portion of an opposition proceeding of one of our European patents in the European Patent Office (“EPO”). European Patent No. 3307239, which had claims directed to vaccine compositions for norovirus and RSV, was opposed in the EPO. The opposition challenged the validity of European Patent No. 3307239 and the EPO maintained the patent with the original independent claim and with cancelation of some subject matter from dependent claims. The opponent appealed this decision and the Board of Appeal upheld the claims to the extent they were directed to norovirus vaccine compositions, but removed claim subject matter as it related to RSV vaccine compositions. Vaxart is awaiting formalities from the Appeal Board and will need to confirm the specification to the new claims. While this is generally a routine practice, it is possible this will be delayed due to bureaucratic delay and/or if the opponent objects to proposed specification amendments. This might delay the ultimate reissue of the EP patent and its revalidation in various European states. It is feasible this may delay Vaxart from asserting the patent in Europe until these formalities are resolved.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Sales of a substantial number of shares of our common stock in the public market, or the perception that the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or in our operations may impact our effective tax rate and may adversely affect our business, financial condition and operating results.</w:t>
      </w:r>
    </w:p>
    <w:p>
      <w:pPr>
        <w:spacing w:after="0" w:line="15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Delaware law could make an acquisition more difficult and may prevent attempts by our stockholders to replace or remove our management.</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we are incorporated in Delaware, we are governed by the provisions of Section 203 of the DGCL, which prohibits stockholders owning in excess of 15% of the outstanding company voting stock from merging or combining with the company. Although we believe these provisions collectively provide for an opportunity to receive higher bids by requiring potential acquirers to negotiate with our board of directors, they would apply even if the offer was considered beneficial by some stockholders. In addition, these provisions may frustrate or prevent any attempts by our stockholders to replace or remove management by making it more difficult for stockholders to replace members of our board of directors, which is responsible for appointing the members of management.</w:t>
      </w:r>
    </w:p>
    <w:p>
      <w:pPr>
        <w:sectPr>
          <w:pgSz w:w="11900" w:h="16838" w:orient="portrait"/>
          <w:cols w:equalWidth="0" w:num="1">
            <w:col w:w="11240"/>
          </w:cols>
          <w:pgMar w:left="320" w:top="121" w:right="339" w:bottom="609"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or cybersecurity breaches.</w:t>
      </w:r>
    </w:p>
    <w:p>
      <w:pPr>
        <w:spacing w:after="0" w:line="2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business and operations, including our CROs, as well as the operations and systems of entities whose services are necessary to our operations, rely greatly on information technology systems and are vulnerable to damage in the event of failure, natural disasters, security breaches and attacks, interruptions or other cybersecurity incidents. These events may compromise the stability, integrity, or confidentiality of these systems, and the accuracy and integrity of information stored or processed through these systems, and may significantly interrupt our ability to run the business</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successfully. Ransomware attacks, which are becoming increasingly common across all industry sectors and have focused in part on businesses operating in health care markets, can disrupt and even halt ongoing business operations completely. Increasing global tensions, including the ongoing military conflict between Russia and Ukraine, among others, are likely to increase the frequency of cybersecurity incidents.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systems, including onsite datacenters and cloud services, continue to increase in size and complexity, making them potentially vulnerable to breakdown and other disruptions. Disruptions include issues with routine maintenance, upgrades, and patching. These systems continue to become more critical and integrated within our business, especially as we continue to work remotely, and our dependence on them will continue to increase. We rely on the high-availability and redundancies built into our cloud services, but these systems are managed and maintained by the providers and are out of our direct control. Any potential problems and interruptions associated with the implementation, support, security, availability, or maintenance of new or existing systems could disrupt or reduce the efficiency of our operations and materially impact the delivery of development programs.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Cybersecurity incidents, including phishing and spear phishing attacks, distributed denial of service attacks, man-in-the-middle attacks, as well as ransomware and other malware insertions, are becoming more sophisticated and frequent. If these attempts to misappropriate or compromise confidential or proprietary information or infiltrate or sabotage enterprise IT systems were successful, they could result in a loss of or damage to data or applications and even the interruption of basic business operations and financial loss, as well as the risk of legal and regulatory liability. As a result, further development of our product candidates could be substantially delayed. A data breach could risk the exposure of mission critical data or other intellectual property, or expose PII (Personally Identifiable Information) and PHI (Protected Health Information) of company employees or people participating in clinical trials. A successful phishing attempt could lead to further hacking attempts, unauthorized email access or messaging, or other vertical/horizontal cyberattacks. Any of these events could cause substantial reputational injury impacting our business.</w:t>
      </w:r>
    </w:p>
    <w:p>
      <w:pPr>
        <w:spacing w:after="0" w:line="188"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changes in inflation and interest rates, changes in trade policy, natural disasters, political crises, geopolitical events, such as the ongoing military conflict between Russia and Ukraine and the war involving Israel, or other macroeconomic conditions, which may in the future negatively impact our business and financial performance.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changes in inflation and interest rates, and uncertainty about economic stability. For example, during 2022 and 2023, the Federal Reserve raised interest rates multiple times in response to concerns about inflation. Higher interest rates, coupled with reduced government spending and volatility in financial markets may increase economic uncertainty and affect consumer spending. Trade policies and geopolitical disputes and conflicts can result in tariffs, sanctions and other measures that restrict international trade, and may adversely affect our costs of doing business, particularly if these measures occur in regions where our suppliers source components or raw materials. Similarly, the ongoing military conflict between Russia and Ukraine and the war involving Israel have created volatility in the global capital markets and are expected to have further global economic consequences, including disruptions of the global supply chain and energy markets.</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occur in regions where drug products are manufactured or raw materials are sourced. With the new presidential administration in the U.S. in 2025, additional and higher tariffs and sanctions may be imposed on goods imported from other countries which could increase the cost of goods needed to commercialize our products and continue development of our product candidates. Further, such actions by the U.S. could result in retaliatory action by those countries which could impact our ability to profitably commercialize our products in those jurisdictions in the future. As a result, our business, operations and financial condition could be materially harmed.</w:t>
      </w:r>
    </w:p>
    <w:p>
      <w:pPr>
        <w:spacing w:after="0" w:line="18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Any such volatility and disruptions may adversely affect our business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176"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(“AI”)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incorporate AI solutions into our platform, and these applications may become important in our operations over time. AI presents risks such as inaccuracy, bias, toxicity, intellectual property infringement or misappropriation, data privacy and cybersecurity and data provenance. In addition, AI utilizes machine learning and predictive analytics, which may present flawed, biased, and inaccurate results, and may have errors or inadequacies that are not easily detectable and may also be subject to data herding and interconnectedness (i.e., multiple market participants utilizing the same data), in each case adversely impacting our business. These issues, combined with an uncertain regulatory environment, may further result in reputational harm, liability, or other adverse consequences to our business operations.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our financial results or detect fraud.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Consequently, investors could lose confidence in our financial reporting and this may negatively impact the trading price of our common stock.</w:t>
      </w:r>
    </w:p>
    <w:p>
      <w:pPr>
        <w:spacing w:after="0" w:line="20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are required, pursuant to Section 404 of the Sarbanes-Oxley Act, to furnish a quarterly report by management on, among other things, the effectiveness of our internal control over financial reporting. This assessment needs to include disclosure of any material weaknesses identified by our management in</w:t>
      </w:r>
    </w:p>
    <w:p>
      <w:pPr>
        <w:sectPr>
          <w:pgSz w:w="11900" w:h="16838" w:orient="portrait"/>
          <w:cols w:equalWidth="0" w:num="1">
            <w:col w:w="11240"/>
          </w:cols>
          <w:pgMar w:left="320" w:top="121" w:right="339" w:bottom="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our internal control over financial reporting. We are required to disclose changes made in our internal control over financial reporting on a quarterly basis. In addition, because our public float was less than $700 million on June 30, 2022, we re-qualified as a smaller reporting company as of December 31, 2022 and, therefore, we are no longer subject to the requirements for auditor attestation for internal control over financial reporting.</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must maintain effective disclosure and internal controls to provide reliable financial reports. We have been assessing our controls to identify areas that need improvement. Based on our evaluation as of December 31, 2024, we concluded that our internal controls and procedures were effective as of December 31, 2024, however we have identified material weaknesses in the past and may do so again in the future.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Failure to maintain the improvements in our controls as necessary to maintain an effective system of such controls could harm our ability to accurately report our operating results and cause investors to lose confidence in our reported financial information. Any such loss of confidence would have a negative effect on the trading price of our common stock.</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Most of our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vulnerable to damage from catastrophic events, such as power loss, natural disasters, terrorism and similar unforeseen events beyond our control.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operations are located in the San Francisco Bay Area, which in the past has experienced severe earthquakes and fires.</w:t>
      </w:r>
    </w:p>
    <w:p>
      <w:pPr>
        <w:spacing w:after="0" w:line="207"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We do not have a disaster recovery and business continuity plan in place. Earthquakes, fires, floods, hurricanes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financial systems or manufacturing facility, or that otherwise disrupted our operations, it may be difficult or, in certain cases, impossible for us to continue business operations for a substantial period of time.</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including those resulting from significant climate change, could adversely affect our business and our third-party partners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businesses.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Natural disasters, such as hurricanes, tornadoes, floods, wildfire, and drought may impact our operations or our partners’ businesses. Climate change is increasing the frequency, intensity, and duration of these weather events. These natural disasters, including those resulting from significant climate change, could destroy or damage facilities or other properties, disrupt business, increase the probability of power or other outages, or otherwise cause significant economic dislocation in the affected regions. Any of these situations may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climate change.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long-term effects of global climate change could present both physical risks and transition risks (such as regulatory or technology changes), which are expected to be widespread and unpredictable. Transitional risks include, for example, a disorderly global transition away from fossil fuels that may result in increased energy prices; customer preference for low or no-carbon products; stakeholder pressure to decarbonize assets; or new legal or regulatory requirements that result in new or expanded carbon pricing, taxes, restrictions on greenhouse gas emissions, and increased greenhouse gas disclosure and transparency. These risks could increase operating costs, including the cost of our electricity and energy use, or other compliance costs. Physical risks to our operations include water stress and drought; flooding and storm surge; wildfires; extreme temperatures and storms, which could impact trials, increase costs, or disrupt supply chains. Our supply chain is likely subject to these same transitional and physical risks and would likely pass along any increased costs to us. We do not anticipate that these risks will have a material financial impact to the Company in the near term.</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has and will likely continue to result in additional costs and risks and may adversely impact our reputation, employee retention and willingness of customers and suppliers to do business with us.</w:t>
      </w:r>
    </w:p>
    <w:p>
      <w:pPr>
        <w:spacing w:after="0" w:line="15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There is an increasing focus from certain customers, consumers, employees and other stakeholders concerning environmental, social and governance (“ESG”) matters, including corporate citizenship and sustainability. Additionally, public interest and legislative pressure related to public companies’ ESG practices continues to grow. If our ESG practices fail to meet regulatory requirements or stakeholders’ evolving expectations and standards for responsible corporate citizenship in areas including environmental stewardship, support for local communities, Board of Director and employee inclusion,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trend of increased environmental regulation is not linear and can fluctuate depending on the administration and jurisdiction, even within the same county. For example, on January 20, 2025, President Trump issued Executive Orders seeking to rescind prior Executive Orders and agency actions enacted by the Biden Administration. These include revoking Biden-era Executive Orders withdrawing certain offshore waters within the Outer Continental Shelf available for oil and gas exploration and imposing a temporary prohibition of offshore wind leasing in the Outer Continental Shelf. We cannot foresee the potential impact and unintended consequences that future Executive Orders or the changes in enforcement of existing laws, rules, and orders may have on our business. Additionally,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and other jurisdictions, we cannot predict with precision or quantify how or when challenges may arise and ultimately impact our business.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in January 2025, President Trump signed a number of Executive Orders focused on diversity, equity, and inclusion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us to the risk of litigation, investigations, or challenges by federal or state authorities or result in reputational harm.</w:t>
      </w:r>
    </w:p>
    <w:p>
      <w:pPr>
        <w:spacing w:after="0" w:line="18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Nevertheless, as we work to align our ESG practices with industry standards, we have expanded and, in the future, will likely continue to expand our disclosures in these areas. From time-to-time, we communicate certain initiatives, including goals, regarding environmental matters, responsible sourcing and social investments. We also expect to incur additional costs and require additional resources to monitor, report and comply with our various ESG practices. The standards for tracking and reporting on ESG matters are relatively new, have not been harmonized and continue to evolve. The disclosure frameworks we choose to align with, if any, may change from time to time and may result in a lack of consistent or meaningful comparative data from period to period. Ensuring there are systems and processes in place to comply with various ESG tracking and reporting obligations will require management time and expense. In addition, our processes and controls may not always comply with evolving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fail to adopt ESG standards or practices as quickly as stakeholders desire, fail, or be perceived to fail, in our achievement of such initiatives or goals, or fail in fully and accurately reporting our progress on such initiatives and goals, our reputation, business, financial performance and growth may be adversely impacted.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ectPr>
          <w:pgSz w:w="11900" w:h="16838" w:orient="portrait"/>
          <w:cols w:equalWidth="0" w:num="1">
            <w:col w:w="11240"/>
          </w:cols>
          <w:pgMar w:left="320" w:top="121" w:right="339" w:bottom="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maintains general cybersecurity policies and procedures to assess, identify, and manage cyber threats, and has designated personnel to implement and maintain these policies and procedures, subject to oversight by our management and board of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implemented various technical, physical and administrative security controls to account for these and other cybersecurity threats. For example, we have implemented technical security controls focused on ensuring the security and protection of computer systems and networks; all pertinent domestic operating entities of the Company are required to adhere to a standardized “Company Confidentiality System,” which is centrally overseen and enforced, subject to oversight by our management and board of directors. This Company Confidentiality System includes specific provisions for information pertaining to network security, data security, and information that, if compromised, could have detrimental effects on the public interest and the Company. The Company and its employees are also required to sign confidentiality agreements for purposes including helping to ensure cybersecurity. The Company has taken measures to better ensure that key employees are aware of data security threats (including cybersecurity threats), and Company security policies and procedures, as appropriate. Improper or illegitimate use of the Company’s information system resources or violation of the Company’s information security policies and procedures may result in disciplinary action.</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are not aware of any material risks from cybersecurity threats that have in the reporting calendar year materially affected or are reasonably likely to materially affect the Company, including our business strategy, results of operations, or financial condition.</w:t>
      </w:r>
    </w:p>
    <w:p>
      <w:pPr>
        <w:spacing w:after="0" w:line="1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Company relies on third-party service providers for critical or key infrastructure and solutions across various Company operations. Cybersecurity incidents that impact third-party service providers have significantly increased in recent years and represent a continuing risk to the Company. The Company has sought to mitigate this risk through specific cybersecurity controls, designed to assess the business and security controls implemented by key information services to the Company, which are annually audited and subject to oversight by management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 Our leased facilities as of December 31, 2024, are as follows: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8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Terms</w:t>
            </w:r>
          </w:p>
        </w:tc>
      </w:tr>
      <w:tr>
        <w:trPr>
          <w:trHeight w:val="213"/>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98"/>
        </w:trPr>
        <w:tc>
          <w:tcPr>
            <w:tcW w:w="17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South San Francisco</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71,997 sq ft</w:t>
            </w: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Laboratory,</w:t>
            </w:r>
          </w:p>
        </w:tc>
        <w:tc>
          <w:tcPr>
            <w:tcW w:w="1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Six leases expiring between May 2025 and</w:t>
            </w: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Burlingame, CA</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w:t>
            </w:r>
          </w:p>
        </w:tc>
        <w:tc>
          <w:tcPr>
            <w:tcW w:w="1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2029</w:t>
            </w:r>
          </w:p>
        </w:tc>
      </w:tr>
      <w:tr>
        <w:trPr>
          <w:trHeight w:val="234"/>
        </w:trPr>
        <w:tc>
          <w:tcPr>
            <w:tcW w:w="1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8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Commitments and Contingencies, section—(c) </w:t>
      </w:r>
      <w:r>
        <w:rPr>
          <w:rFonts w:ascii="Times New Roman" w:cs="Times New Roman" w:eastAsia="Times New Roman" w:hAnsi="Times New Roman"/>
          <w:sz w:val="18"/>
          <w:szCs w:val="18"/>
          <w:u w:val="single" w:color="auto"/>
          <w:color w:val="0000EE"/>
        </w:rPr>
        <w:t>Litigation</w:t>
      </w:r>
      <w:r>
        <w:rPr>
          <w:rFonts w:ascii="Times New Roman" w:cs="Times New Roman" w:eastAsia="Times New Roman" w:hAnsi="Times New Roman"/>
          <w:sz w:val="18"/>
          <w:szCs w:val="18"/>
          <w:color w:val="auto"/>
        </w:rPr>
        <w:t>” to the Consolidated Financial Statements in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incorporated by reference into this Item.</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be involved in legal proceedings arising in connection with our business. Based on information currently available, we believe that the amount, or range, of reasonably possible losses in connection with any pending actions against it in excess of established reserves, in the aggregate, is not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“VXRT”.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13, 2025, there were approximately 2,155 holders of record of our common stock (including Cede &amp; Co.). The actual number of stockholders is greater than this number of holders of record and includes stockholders who are beneficial owners but whose shares are held in “street name” by brokerage firms, banks and other financial institutions or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Vaxart, Inc. under the Securities Act or the Exchange Act.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2018, through December 31, 2024, of the cumulative total return for our common stock, the Nasdaq Biotechnology Index and the Nasdaq Composite Index, each of which assumes an initial investment of $100 and reinvestment of any dividends. Such returns are based on historical prices which, prior to the Merger on February 13, 2018, are those of Aviragen Therapeutics, Inc. and may 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137910" cy="3257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379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We have never declared or paid dividends on shares of our common stock. We intend to retain future earnings, if any, to support the development of our business and therefore do not anticipate paying cash dividends for the foreseeable future. Payment of future dividends, if any, will be at the discretion of our board of directors after considering various factors, including current financial condition, operating results and current and anticipated cash needs.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other sections of this Annual Report, including our consolidated financial statements and notes thereto included elsewhere. This discussion contains a number of forward-looking statements that reflect our plans, estimates and beliefs. Our actual results could differ materially from those discussed in the forward-looking statements. Factors that could cause or contribute to these differences include those discussed below and elsewhere in the Annual Report, particularly in Item 1A – “Risk Factors.” The forward-looking statements made in this Annual Report are made only as of the date hereof.</w:t>
      </w:r>
    </w:p>
    <w:p>
      <w:pPr>
        <w:spacing w:after="0" w:line="18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in our Annual Report on Form 10-K filed on March 14, 2024, for discussion and analysis of results of operations for the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8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Vaxart Biosciences, Inc. was originally incorporated in California under the name West Coast Biologicals, Inc. in March 2004 and changed its name to Vaxart, Inc. (“Private Vaxart”) in 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2016, Aviragen sold certain royalty rights related to Inavir in the Japanese market for $20.0 million to HealthCare Royalty Partners III,</w:t>
      </w:r>
    </w:p>
    <w:p>
      <w:pPr>
        <w:spacing w:after="0" w:line="2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 xml:space="preserve">L.P. (“HCRP”). Under the terms of our agreement with HCRP,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 </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for the first royalty interest period of April 1, 2016 through March 31, 2025,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then, for so long as the Company continues to receive royalties from Daiichi Sankyo Company Limited (“Daiichi Sankyo”), the sum of those royalties will be paid to HCRP until the cumulative remaining shortfall amount has been paid in full.</w:t>
      </w:r>
    </w:p>
    <w:p>
      <w:pPr>
        <w:spacing w:after="0" w:line="19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are not obligated to pay HCRP any royalty payment beyond what we are paid by Daiichi Sankyo. The cumulative remaining shortfall amount is the aggregate amount of the shortfall for each annual period, which was $6.0 million as of December 31, 2024. 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by HHS BARDA,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Revenue from government contracts recognized on the 2024 ASPR-BARDA Contract was $8.7 million and zero for the years ended December 31, 2024 and 2023, respectively, based on the achievement of certain milestones under the 2024 ASPR-BARDA Contract.</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June 2024, we entered into the 2024 ATI-RRPV Contract. In the second half of 2024, the 2024 ATI-RRPV Contract was modified to increase funding and expand the scope to include the manufacture of a vaccine candidate targeting the KP.2 strain and acquire an approved mRNA vaccine targeting the KP.2 strain. Pursuant to the 2024 ATI-RRPV Contract (as modified or amended from time to time), we may receive funding of up to $460.7 million to conduct a Phase 2b comparative study evaluating our oral pill COVID-19 vaccine candidate against an mRNA vaccine comparator approved by the FDA. As of December 31, 2024, the 2024 ATI-RRPV Contract makes available an aggregate amount of up to $134.2 million, consisting of firm fixed</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price amounts totaling $67.9 million and reimbursement of costs incurred in trial preparation and execution activities. As of December 31, 2024, the 2024 ATI-RRPV Contract further contemplates additional funding up to $326.5 million if we and HHS BARDA decide to continue with the Phase 2b comparative study. Revenue from government contracts recognized on the 2024 ATI-RRPV Contract was $16.2 million and zero for the years ended December 31, 2024 and 2023, respectively, based on costs incurred and the achievement of firm fixed-price milestones under the 2024 ATI-RRPV Contract. In February 2025, we entered into Modification No. 5 (the “Modification”) to the 2024 ATI-RRPV Contract. The Modification increased the total amount of funding available for payment to approximately $240.1 million. On February 21, 2025, we received the “Notices” (discussed above) directing us to stop work on all of our efforts with respect to the 2024 ATI-RRPV Contract, with the exception that we may continue efforts associated with the per protocol follow-up for the 400-person cohort. The Notices stated that the stop work order is in effect for a period of 90 days after the date of the Notices and, that within a period of 90 days, ATI, as directed by the U.S. Government, will either cancel the stop-work order, extend the stop work, or terminate the work covered by the letter.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2022, we accepted a grant (the “BMGF Grant”) of $3.5 million to perform research and development work for the Bill &amp; Melinda Gates Foundation and received $2.0 million in advance that was recorded as restricted cash and deferred revenue. We received an additional $1.5 million in July 2023 upon completion of certain milestones. We recognize revenue under research contracts only when a contract is executed and the contract price is fixed or determinable. Revenue from the BMGF Grant was recognized in the period during which the related costs were incurred and the related</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services rendered, as the applicable conditions under the contract were met. Costs of contract revenue were recorded as a component of operating expenses in the consolidated statements of operations and comprehensive loss. We fully recognized revenue from the BMGF Grant during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spacing w:after="0" w:line="17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that conduct clinical trials on our behalf;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(“CMOs”), that manufacture product used in the clinical trials;</w:t>
      </w:r>
    </w:p>
    <w:p>
      <w:pPr>
        <w:spacing w:after="0" w:line="25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procuring materials and for analytical and release testing services required to produce vaccine candidates used in clinical trials;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expenses incurred internally and externally to improve the efficiency and yield of the bulk vaccine and tablet manufacturing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vendor expenses related to preclinical research activities;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expenses for services supporting our clinical, regulatory and manufacturing activities;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allocated overhead expenses.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incurred significant external costs for CROs that conduct clinical trials on our behalf. We have captured these external costs for each vaccine program. We do not allocate external costs incurred on preclinical research or process development to specific programs.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shows our period-over-period research and development expenses, identifying external costs that were incurred in each of our vaccine programs and, separately, on preclinical research and process development for years ended December 31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program costs: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Norovirus program</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program</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programs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research</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development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52,745</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68,142</w:t>
            </w:r>
          </w:p>
        </w:tc>
      </w:tr>
    </w:tbl>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in 2025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facilities-related expenses.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period-over-period changes in selected items in the consolidated statements of operations and comprehensive loss for years ended December 31 (in thousands, except percentages):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16"/>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94,993</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90,726</w:t>
            </w:r>
          </w:p>
        </w:tc>
      </w:tr>
      <w:tr>
        <w:trPr>
          <w:trHeight w:val="209"/>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(83,347)</w:t>
            </w:r>
          </w:p>
        </w:tc>
      </w:tr>
      <w:tr>
        <w:trPr>
          <w:trHeight w:val="216"/>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non-operating (expense) income</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09"/>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(82,204)</w:t>
            </w:r>
          </w:p>
        </w:tc>
      </w:tr>
      <w:tr>
        <w:trPr>
          <w:trHeight w:val="216"/>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revenue for years ended December 31 (in thousands, except percentages):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24,858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3,459</w:t>
            </w:r>
          </w:p>
        </w:tc>
      </w:tr>
      <w:tr>
        <w:trPr>
          <w:trHeight w:val="21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7,379</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 Related to Sale of Future Royalties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non-cash royalty revenue related to sale of future royalties from Daiichi Sankyo was $3.8 million, compared to $3.9 million for the year ended December 31, 2023. We continue to have non-cash royalty revenue as all royalties received in the years ended December 31, 2024 and 2023 were required to be paid to HCRP.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and 2023, revenue from government contracts was $24.9 million and zero, respectively. The revenue from government contracts consists of the 2024 ASPR-BARDA Contract awarded to us in January 2024 and the 2024 ATI-RRPV Contract awarded to us in June 2024. Revenue from the 2024 ASPR-BARDA Contract was $8.7 million for the year ended December 31, 2024. Revenue from the ATI-RRPV Contract was $16.2 million for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revenue from the BMGF Grant of zero and $3.5 million for the years ended December 31, 2024 and 2023,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operating expenses for years ended December 31 (in thousands, except percentages):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74,213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68,142</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22,584</w:t>
            </w: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94,993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90,726</w:t>
            </w: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research and development expenses were $74.2 million, an increase of $6.1 million, or 9%, compared to $68.1 million for the year ended December 31, 2023. The increase was primarily due to increases in clinical trial expenses related to our COVID-</w:t>
      </w:r>
    </w:p>
    <w:p>
      <w:pPr>
        <w:ind w:right="20"/>
        <w:spacing w:after="0" w:line="260" w:lineRule="auto"/>
        <w:rPr>
          <w:sz w:val="20"/>
          <w:szCs w:val="20"/>
          <w:color w:val="auto"/>
        </w:rPr>
      </w:pPr>
      <w:r>
        <w:rPr>
          <w:rFonts w:ascii="Times New Roman" w:cs="Times New Roman" w:eastAsia="Times New Roman" w:hAnsi="Times New Roman"/>
          <w:sz w:val="18"/>
          <w:szCs w:val="18"/>
          <w:color w:val="auto"/>
        </w:rPr>
        <w:t>19 vaccine candidate, an increase in manufacturing and preclinical expenses and facilities expenses, offset by a decrease in clinical trial expenses related to our norovirus vaccine candidate and a decrease in stock-based compensation expense and personnel-related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general and administrative expenses were $20.8 million, a decrease of $1.8 million, or 8% compared to</w:t>
      </w:r>
    </w:p>
    <w:p>
      <w:pPr>
        <w:spacing w:after="0" w:line="27"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7"/>
          <w:szCs w:val="17"/>
          <w:color w:val="auto"/>
        </w:rPr>
        <w:t>$22.6 million for the year ended December 31, 2023. The decrease was primarily due to a decrease in personnel-related costs, including stock-based compensation expenses, and directors’ and officers’ insurance costs, offset by increases in severance costs, recruiting costs and other professional fees.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non-operating (expense) income for years ended December 31 (in thousands, except percentages):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non-operating (expense) income</w:t>
            </w: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interest income of $2.5 million, a 4% decrease from the $2.7 million interest income recorded in the year ended December 31, 2023. The decrease is primarily due to lower interest rates in 2024, partially offset by a higher cash, cash equivalents and investments balance.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Non-cash interest expense related to sale of future royalties representing imputed interest on the unamortized portion of the sale of future royalties liability, increased to $3.0 million for the year ended December 31, 2024, from the $1.4 million in 2023, due to an increase in non-cash royalty revenue payable to HCRP.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period-over-period changes in our provision for income taxes for years ended December 31 (in thousands, except percentages):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 on royalty revenue</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payable on intercompany interest</w:t>
            </w:r>
          </w:p>
        </w:tc>
        <w:tc>
          <w:tcPr>
            <w:tcW w:w="11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$260,000 and $261,000 for the years ended December 31, 2024 and 2023, respectively. The tax charge relates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income tax expense recorded is directly proportional to Inavir royalties, including the portion that we pass through to HCRP.</w:t>
      </w:r>
    </w:p>
    <w:p>
      <w:pPr>
        <w:sectPr>
          <w:pgSz w:w="11900" w:h="16838" w:orient="portrait"/>
          <w:cols w:equalWidth="0" w:num="1">
            <w:col w:w="11200"/>
          </w:cols>
          <w:pgMar w:left="320" w:top="121"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with no product sales. Our primary source of financing is from the sale and issuance of common stock in public offerings as well as funding from HHS BARDA. In the past, we have also obtained funds from the issuance of common stock warrants, secured debt and preferred stock and from collaboration agreements.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Controlled Equity Offering Sales Agreement (the “September 2021 ATM”), under which we may offer and sell, from time to time through sales agents, shares of our common stock having an aggregate offering price of up to $100 million. We incurred direct expenses and paid sales commissions of up to 3.0% of gross proceeds from the sale of shares under the September 2021 ATM. In the year ended December 31, 2024, 7,719,641 shares were issued and sold under the September 2021 ATM for gross proceeds of $9.1 million, which, after deducting sales commissions and expenses incurred to date, resulted in net proceeds of $8.8 million. Effective October 18, 2024, the Company terminated the September 2021 ATM and discontinued all offers and sales of common stock thereunder.</w:t>
      </w:r>
    </w:p>
    <w:p>
      <w:pPr>
        <w:spacing w:after="0" w:line="18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January 2024, we entered into a securities purchase agreement (the “2024 Securities Purchase Agreement”) with RA Capital Healthcare Fund, L.P. pursuant to which 15,384,615 shares of our common stock were sold to RA Capital Healthcare Fund, L.P. at an offering price of $0.65 per share. The gross proceeds from the 2024 Securities Purchase Agreement were $10.0 million and, after deducting offering expenses, the net proceeds were $9.9 million.</w:t>
      </w:r>
    </w:p>
    <w:p>
      <w:pPr>
        <w:spacing w:after="0" w:line="15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January 2024, we were awarded the 2024 ASPR-BARDA Contract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The</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2024 ASPR-BARDA Contract originally had a period of performance term that was set to expire in July 2024, but we entered into an amendment in July 2024 that extended the period of performance expiration date into October 2024. BARDA and Vaxart are currently discussing contract closeout for the 2024 ASPR-BARDA Contract. As of December 31, 2024, we received approximately $9.3 million of cash payments under the 2024 ASPR-BARDA Contract.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we entered into an underwriting agreement with Oppenheimer &amp; Co. Inc., relating to the issuance and sale by us in an underwritten registered direct offering (the “June 2024 Offering”) of 50,000,000 shares of our common stock at a price of $0.80 per share. The gross proceeds to us from such offering were $40.0 million, and after deducting the underwriting discounts and commissions and other offering expenses paid by us, the net proceeds were $37.5 million.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June 2024, we entered into the 2024 ATI-RRPV Contract. Pursuant to the 2024 ATI-RRPV Contract, we may receive funding of up to $460.7 million to conduct a Phase 2b comparative study evaluating our oral pill COVID-19 vaccine candidate against an mRNA vaccine comparator approved by the U.S. Food and Drug Administration, manufacture a COVID-19 vaccine candidate targeting the KP.2 strain, and acquire an approved mRNA vaccine targeting the KP.2 strain. As of December 31, 2024, we have received $72.0 million of cash payments under the 2024 ATI-RRPV Contract. Subsequent to December 31, 2024, through the filing date of this Annual Report on Form 10-K, we have received $7.2 million under the 2024 ATI-RRPV Contract. On February 21, 2025, we received the Notices directing us to stop work on all of our efforts with respect to the 2024 ATI-RRPV Contract, with the exception that we may continue efforts associated with the per protocol follow-up for the 400-person cohort. The Notices stated that the stop work order is in effect for a period of 90 days after the date of the Notices and, that within a period of 90 days, ATI, as directed by the U.S. Government, will either cancel the stop-work order, extend the stop work, or terminate the work covered by the letter.</w:t>
      </w:r>
    </w:p>
    <w:p>
      <w:pPr>
        <w:spacing w:after="0" w:line="18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$51.7 million of cash, cash equivalents and short-term investments. Our cash, cash equivalents and investments are not sufficient to fund our planned operations for a period of 12 months from the date of issuance of this Annual Report. To continue operations, we expect that we will need to raise further capital, through the sale of additional securities or otherwise. Our future capital requirements and the adequacy of our available funds will depend on many factors, most notably our ability to successfully commercialize our products and services.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spacing w:after="0" w:line="19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Based on management’s current plan, we expect to have enough cash runway into the fourth quarter of 2025. If we are unable to raise additional capital in sufficient amounts or on acceptable terms, management’s plans include further reducing or delaying operating expenses. These conditions raise substantial doubt about our ability to continue as a going concern for a period of one year from the date of the issuance of these consolidated financial statements. The accompanying consolidated financial statements have been prepared assuming that we will continue as a going concern, which contemplates the realization of assets and the settlement of liabilities and commitments in the normal course of business.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0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preclinical studies for our product candidates;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our planned clinical trials of our product candidates;</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including the availability of contract manufacturing organizations to supply our product candidates at reasonable cost;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royalties received on sales of Inavir;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our future products, which will be subject to receipt of regulatory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collaborations, licensing, consulting or other arrangements that we may enter into;</w:t>
      </w:r>
    </w:p>
    <w:p>
      <w:pPr>
        <w:spacing w:after="0" w:line="25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that may be required in connection with the licensing, filing, prosecution, maintenance, defense and enforcement of any patents or patent applications or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listed on the Nasdaq Capital Market;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(44,764)</w:t>
            </w:r>
          </w:p>
        </w:tc>
        <w:tc>
          <w:tcPr>
            <w:tcW w:w="1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(70,453)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43,952</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(11,258)</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experienced negative cash flow from operating activities for the years ended December 31, 2024, and 2023, in the amounts of $44.8 million, and $70.5 million, respectively. The cash used in operating activities for the year ended December 31, 2024, was due to cash used to fund a net loss of $66.9 million and an increase in working capital of $3.3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$18.9 million. The cash used in operating activities for the year ended December 31, 2023, was due to cash used to fund a net loss of $82.5 million and an increase in working capital of $10.9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$22.9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2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the year ended December 31, 2024, we used $20.8 million of cash to purchase investments, net of maturities, and used $0.6 million of cash to purchase property and equipment. In 2023, we received $45.7 million from maturities of investments, net of purchases and used $1.8 million to purchase property and equipment, net of disposals.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2024, we received net proceeds of $37.5 million from the sale of our common stock under the June 2024 Offering, net proceeds of $8.8 million from the sale of our common stock under the September 2021 ATM, net proceeds of $9.9 million from the sale of our common stock under the 2024 Securities Purchase Agreement and $0.5 million from the issuance of common stock and treasury stock under the employee stock purchase plan, partially offset by $0.2 million from common stock acquired to settle employee tax withholding liabilities. In 2023, we received $13.6 million from the issuance of common stock in a registered direct offering, $1.4 million from the sale of common stock under the September 2021 ATM and $0.6 million from the issuance of common stock under the employee stock purchase plan, partially offset by $0.4 million from common stock acquired to settle employee tax withholding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contractual obligations and commercial commitments as of December 31, 2024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Obligation</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&lt; 1 Year</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1 - 3 Years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3 - 5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&gt; 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HCRP</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21,520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54,508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20,071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 Term Debt, HCRP. </w:t>
      </w:r>
      <w:r>
        <w:rPr>
          <w:rFonts w:ascii="Times New Roman" w:cs="Times New Roman" w:eastAsia="Times New Roman" w:hAnsi="Times New Roman"/>
          <w:sz w:val="18"/>
          <w:szCs w:val="18"/>
          <w:color w:val="auto"/>
        </w:rPr>
        <w:t>Under an agreement executed in 2016, during the first royalty interest period of April 1, 2016 through March 31, 2025,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 xml:space="preserve"> to the Consolidated Financial Statements in Part II, Item 8 for further details.</w:t>
      </w:r>
    </w:p>
    <w:p>
      <w:pPr>
        <w:spacing w:after="0" w:line="18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Operating lease amounts include future minimum lease payments under all our non-cancellable operating leases with an initial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excess of one year. See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 xml:space="preserve"> to the Consolidated Financial Statements in Part II, Item 8 for further details.</w:t>
      </w:r>
    </w:p>
    <w:p>
      <w:pPr>
        <w:spacing w:after="0" w:line="15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These amounts include an estimate of all open purchase orders and contractual obligations in the ordinary course of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commitments with contract manufacturers and suppliers for which we have not received the goods or services. We consider all open purchase orders, which are generally enforceable and legally binding, to be commitments, although the terms may afford us the option to cancel based on our business needs prior to the delivery of goods or performance of services.</w:t>
      </w:r>
    </w:p>
    <w:p>
      <w:pPr>
        <w:spacing w:after="0" w:line="18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Share-based payment arrangements</w:t>
      </w:r>
      <w:r>
        <w:rPr>
          <w:rFonts w:ascii="Times New Roman" w:cs="Times New Roman" w:eastAsia="Times New Roman" w:hAnsi="Times New Roman"/>
          <w:sz w:val="18"/>
          <w:szCs w:val="18"/>
          <w:color w:val="auto"/>
        </w:rPr>
        <w:t>. As of December 31, 2024, the unrecognized stock-based compensation cost related to outstanding unvested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options and RSUs expected to vest was $13.5 million, which we expect to recognize over an estimated weighted average period of 2.1 years. See </w:t>
      </w:r>
      <w:r>
        <w:rPr>
          <w:rFonts w:ascii="Times New Roman" w:cs="Times New Roman" w:eastAsia="Times New Roman" w:hAnsi="Times New Roman"/>
          <w:sz w:val="18"/>
          <w:szCs w:val="18"/>
          <w:u w:val="single" w:color="auto"/>
          <w:color w:val="0000EE"/>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Consolidated Financial Statements in Part II, Item 8 for further details on stock-based compensation expense recognized.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consolidated balance sheets and within research and development expense in the consolidated statements of operations and comprehensive loss. These costs can be a significant component of our research and development expenses.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 The fair value as of December 31, 2024, is being amortized on a straight-line basis over the remaining period of 4.9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Government Contracts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firm fixed-price milestone contracts, we recognize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 Under cost reimbursable contracts, we recognize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Payments to us under cost reimbursable contracts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spacing w:after="0" w:line="17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2024, a notional 10% decrease in expected term would have reduced the fair value and the related compensation expense by approximately 2.1%.</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2024, a notional 10% decrease in expected volatility (from 129.1% to 116.2%) would have reduced the fair value and the related compensation expense by approximately 4.0%.</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 This is based on the U.S. Treasury yield curve on the measurement date corresponding with the expected term of the stock-based awards.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dividend</w:t>
      </w:r>
      <w:r>
        <w:rPr>
          <w:rFonts w:ascii="Times New Roman" w:cs="Times New Roman" w:eastAsia="Times New Roman" w:hAnsi="Times New Roman"/>
          <w:sz w:val="18"/>
          <w:szCs w:val="18"/>
          <w:color w:val="auto"/>
        </w:rPr>
        <w:t xml:space="preserve"> – We have not made any dividend payments and do not plan to pay dividends in the foreseeable future. Therefore, we use an expected dividend yield of zero.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Forfeiture rate</w:t>
      </w:r>
      <w:r>
        <w:rPr>
          <w:rFonts w:ascii="Times New Roman" w:cs="Times New Roman" w:eastAsia="Times New Roman" w:hAnsi="Times New Roman"/>
          <w:sz w:val="18"/>
          <w:szCs w:val="18"/>
          <w:color w:val="auto"/>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See the “Recent Accounting Pronouncements”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to the Consolidated Financial Statements in Part II, Item 8 for information related to the issuance of new accounting standards in 2024, which are either not applicable to its operations or their adoption is not expected to have a material impact on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investments in marketable debt securities. The primary objective of our investment activities is to preserve principal, maintain liquidity that is sufficient to meet cash needs and maximize total return without significantly increasing risk. To achieve this goal, we maintain our excess cash and cash equivalents in money market funds and marketable debt securities. We do not enter into investments for trading or speculative purposes and we hold no equity securities. We presently have no borrowings or lines of credit.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Specifically, as of December 31, 2024, we had cash, cash equivalents and short-term investments of approximately $51.7 million, which consist of primarily bank deposits, money market funds and U.S. government securities. All of our investments must satisfy high credit rating requirements at the time of purchase. Such interest-earning instruments carry a degree of interest rate risk, however, because our investments are rated highly and mostly short-term, we believe that our exposure to risk of loss due to interest rate changes is not 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Sensitivity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royalty revenue, which is calculated in U.S. dollars, is based on sales in Japanese yen, so a 1% increase in the strength of the U.S. dollar against the yen would lead to a 1% reduction in royalty revenue and related accounts receivable. All our other revenue and substantially all of our expenses, assets and liabilities are denominated in U.S. dollars and, as a result, we have not experienced significant foreign exchange gains or losses recently and do not anticipate that foreign exchange gains or losses will be significant in the near future.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96"/>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4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140" w:type="dxa"/>
            <w:vAlign w:val="bottom"/>
          </w:tcPr>
          <w:p>
            <w:pPr>
              <w:spacing w:after="0"/>
              <w:rPr>
                <w:sz w:val="24"/>
                <w:szCs w:val="24"/>
                <w:color w:val="auto"/>
              </w:rPr>
            </w:pPr>
          </w:p>
        </w:tc>
      </w:tr>
      <w:tr>
        <w:trPr>
          <w:trHeight w:val="385"/>
        </w:trPr>
        <w:tc>
          <w:tcPr>
            <w:tcW w:w="1140" w:type="dxa"/>
            <w:vAlign w:val="bottom"/>
          </w:tcPr>
          <w:p>
            <w:pPr>
              <w:spacing w:after="0"/>
              <w:rPr>
                <w:sz w:val="24"/>
                <w:szCs w:val="24"/>
                <w:color w:val="auto"/>
              </w:rPr>
            </w:pP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Report of WithumSmith+Brown, PC - Independent Registered Public Accounting Firm</w:t>
            </w:r>
          </w:p>
        </w:tc>
        <w:tc>
          <w:tcPr>
            <w:tcW w:w="2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65</w:t>
            </w: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4200" w:type="dxa"/>
            <w:vAlign w:val="bottom"/>
            <w:gridSpan w:val="5"/>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67</w:t>
            </w: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5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0000EE"/>
                <w:w w:val="99"/>
              </w:rPr>
              <w:t>68</w:t>
            </w: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11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69</w:t>
            </w: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680" w:type="dxa"/>
            <w:vAlign w:val="bottom"/>
            <w:gridSpan w:val="2"/>
          </w:tcPr>
          <w:p>
            <w:pPr>
              <w:spacing w:after="0"/>
              <w:rPr>
                <w:sz w:val="24"/>
                <w:szCs w:val="24"/>
                <w:color w:val="auto"/>
              </w:rPr>
            </w:pPr>
          </w:p>
        </w:tc>
        <w:tc>
          <w:tcPr>
            <w:tcW w:w="488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70</w:t>
            </w:r>
          </w:p>
        </w:tc>
        <w:tc>
          <w:tcPr>
            <w:tcW w:w="1140" w:type="dxa"/>
            <w:vAlign w:val="bottom"/>
          </w:tcPr>
          <w:p>
            <w:pPr>
              <w:spacing w:after="0"/>
              <w:rPr>
                <w:sz w:val="24"/>
                <w:szCs w:val="24"/>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4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0000EE"/>
                <w:w w:val="99"/>
              </w:rPr>
              <w:t>72</w:t>
            </w:r>
          </w:p>
        </w:tc>
        <w:tc>
          <w:tcPr>
            <w:tcW w:w="114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left="160" w:right="2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Vaxart, Inc.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160" w:right="200"/>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an accumulated deficit at December 31, 2024 and, since inception, has suffered significant operating losses and negative cash flows from operations. The Company’s cash, cash equivalents and investments as of December 31, 2024 are not sufficient to fund the Company’s planned operations for a period of 12 months from the date the consolidated financial statements are issued. Accordingly, the Company has determined that its planned operations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60" w:right="1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Accruals Related to Clinical Expenses - Refer to Note 2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160"/>
        <w:spacing w:after="0" w:line="289" w:lineRule="auto"/>
        <w:rPr>
          <w:sz w:val="20"/>
          <w:szCs w:val="20"/>
          <w:color w:val="auto"/>
        </w:rPr>
      </w:pPr>
      <w:r>
        <w:rPr>
          <w:rFonts w:ascii="Times New Roman" w:cs="Times New Roman" w:eastAsia="Times New Roman" w:hAnsi="Times New Roman"/>
          <w:sz w:val="17"/>
          <w:szCs w:val="17"/>
          <w:color w:val="auto"/>
        </w:rPr>
        <w:t>The Company recognizes costs it incurs for clinical trials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 Advance payments are recorded as prepaid expenses.</w:t>
      </w:r>
    </w:p>
    <w:p>
      <w:pPr>
        <w:spacing w:after="0" w:line="158"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8"/>
          <w:szCs w:val="18"/>
          <w:color w:val="auto"/>
        </w:rPr>
        <w:t>In estimating the vendors’ progress toward completion of specific tasks, the Company uses data such as patient enrollment, clinical site activations or vendor information of actual costs incurred. This data is obtained through reports from and discussions with Company personnel and third-party service providers as to the progress or state of completion of trials, or the completion of services.</w:t>
      </w:r>
    </w:p>
    <w:p>
      <w:pPr>
        <w:spacing w:after="0" w:line="176" w:lineRule="exact"/>
        <w:rPr>
          <w:sz w:val="20"/>
          <w:szCs w:val="20"/>
          <w:color w:val="auto"/>
        </w:rPr>
      </w:pPr>
    </w:p>
    <w:p>
      <w:pPr>
        <w:ind w:left="180" w:right="120"/>
        <w:spacing w:after="0" w:line="282" w:lineRule="auto"/>
        <w:rPr>
          <w:sz w:val="20"/>
          <w:szCs w:val="20"/>
          <w:color w:val="auto"/>
        </w:rPr>
      </w:pPr>
      <w:r>
        <w:rPr>
          <w:rFonts w:ascii="Times New Roman" w:cs="Times New Roman" w:eastAsia="Times New Roman" w:hAnsi="Times New Roman"/>
          <w:sz w:val="18"/>
          <w:szCs w:val="18"/>
          <w:color w:val="auto"/>
        </w:rPr>
        <w:t>Given the number of ongoing clinical trial activities and the subjectivity involved in estimating clinical expenses, auditing the prepayments and accruals related to clinical expenses involved especially subjective judgment, thereby causing us to determine that the matter is a critical audit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audit procedures related to prepayments and accruals of clinical trials included the following, among others:</w:t>
      </w:r>
    </w:p>
    <w:p>
      <w:pPr>
        <w:spacing w:after="0" w:line="225" w:lineRule="exact"/>
        <w:rPr>
          <w:sz w:val="20"/>
          <w:szCs w:val="20"/>
          <w:color w:val="auto"/>
        </w:rPr>
      </w:pPr>
    </w:p>
    <w:p>
      <w:pPr>
        <w:ind w:left="1380" w:right="300" w:hanging="333"/>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design and implementation of internal controls over the estimation of prepayments and accruals related to clinical trials.</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a sample of research and collaboration agreements and contracts, as well as amendments thereto.</w:t>
      </w:r>
    </w:p>
    <w:p>
      <w:pPr>
        <w:spacing w:after="0" w:line="225" w:lineRule="exact"/>
        <w:rPr>
          <w:rFonts w:ascii="Times New Roman" w:cs="Times New Roman" w:eastAsia="Times New Roman" w:hAnsi="Times New Roman"/>
          <w:sz w:val="18"/>
          <w:szCs w:val="18"/>
          <w:color w:val="auto"/>
        </w:rPr>
      </w:pPr>
    </w:p>
    <w:p>
      <w:pPr>
        <w:ind w:left="1380" w:right="640" w:hanging="333"/>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publicly available information (such as press releases and investor presentations) and board of directors’ materials regarding the status of clinical trial activities.</w:t>
      </w:r>
    </w:p>
    <w:p>
      <w:pPr>
        <w:spacing w:after="0" w:line="161" w:lineRule="exact"/>
        <w:rPr>
          <w:rFonts w:ascii="Times New Roman" w:cs="Times New Roman" w:eastAsia="Times New Roman" w:hAnsi="Times New Roman"/>
          <w:sz w:val="18"/>
          <w:szCs w:val="18"/>
          <w:color w:val="auto"/>
        </w:rPr>
      </w:pPr>
    </w:p>
    <w:p>
      <w:pPr>
        <w:ind w:left="1380" w:right="160" w:hanging="333"/>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and contracts, we compared the amount of accrual or prepayment at the end of the prior period to current year activity and evaluated the accuracy of the Company’s estimation methodology.</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 written confirmation of the status of clinical trials from the Company’s third-party service providers.</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search for unrecorded clinical trial accruals by testing subsequent cash disbursements.</w:t>
      </w:r>
    </w:p>
    <w:p>
      <w:pPr>
        <w:spacing w:after="0" w:line="225" w:lineRule="exact"/>
        <w:rPr>
          <w:rFonts w:ascii="Times New Roman" w:cs="Times New Roman" w:eastAsia="Times New Roman" w:hAnsi="Times New Roman"/>
          <w:sz w:val="18"/>
          <w:szCs w:val="18"/>
          <w:color w:val="auto"/>
        </w:rPr>
      </w:pPr>
    </w:p>
    <w:p>
      <w:pPr>
        <w:ind w:left="1380" w:right="440" w:hanging="333"/>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selections of specific amounts recognized as research and development expense as well as those recognized as prepaid or accrued expenses to evaluate management’s estimate of the vendor’s progress and performed the following procedures:</w:t>
      </w:r>
    </w:p>
    <w:p>
      <w:pPr>
        <w:spacing w:after="0" w:line="161"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corroborating inquiries with Company clinical operations personnel.</w:t>
      </w:r>
    </w:p>
    <w:p>
      <w:pPr>
        <w:spacing w:after="0" w:line="225" w:lineRule="exact"/>
        <w:rPr>
          <w:rFonts w:ascii="Times New Roman" w:cs="Times New Roman" w:eastAsia="Times New Roman" w:hAnsi="Times New Roman"/>
          <w:sz w:val="18"/>
          <w:szCs w:val="18"/>
          <w:color w:val="auto"/>
        </w:rPr>
      </w:pPr>
    </w:p>
    <w:p>
      <w:pPr>
        <w:ind w:left="1700" w:right="520" w:hanging="329"/>
        <w:spacing w:after="0" w:line="282" w:lineRule="auto"/>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 the related statement of work, purchase order, or other supporting documentation (such as communications between the Company and third-party service providers).</w:t>
      </w:r>
    </w:p>
    <w:p>
      <w:pPr>
        <w:spacing w:after="0" w:line="161" w:lineRule="exact"/>
        <w:rPr>
          <w:rFonts w:ascii="Times New Roman" w:cs="Times New Roman" w:eastAsia="Times New Roman" w:hAnsi="Times New Roman"/>
          <w:sz w:val="18"/>
          <w:szCs w:val="18"/>
          <w:color w:val="auto"/>
        </w:rPr>
      </w:pPr>
    </w:p>
    <w:p>
      <w:pPr>
        <w:ind w:left="1700" w:hanging="329"/>
        <w:spacing w:after="0"/>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judgments by comparing such judgments to the evidence obtained.</w:t>
      </w:r>
    </w:p>
    <w:p>
      <w:pPr>
        <w:spacing w:after="0" w:line="225" w:lineRule="exact"/>
        <w:rPr>
          <w:rFonts w:ascii="Times New Roman" w:cs="Times New Roman" w:eastAsia="Times New Roman" w:hAnsi="Times New Roman"/>
          <w:sz w:val="18"/>
          <w:szCs w:val="18"/>
          <w:color w:val="auto"/>
        </w:rPr>
      </w:pPr>
    </w:p>
    <w:p>
      <w:pPr>
        <w:ind w:left="1700" w:right="100" w:hanging="329"/>
        <w:spacing w:after="0" w:line="282" w:lineRule="auto"/>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listing of all contracts related to research and development expenses to evaluate the completeness of prepayments and accruals.</w:t>
      </w:r>
    </w:p>
    <w:p>
      <w:pPr>
        <w:spacing w:after="0" w:line="161" w:lineRule="exact"/>
        <w:rPr>
          <w:rFonts w:ascii="Times New Roman" w:cs="Times New Roman" w:eastAsia="Times New Roman" w:hAnsi="Times New Roman"/>
          <w:sz w:val="18"/>
          <w:szCs w:val="18"/>
          <w:color w:val="auto"/>
        </w:rPr>
      </w:pPr>
    </w:p>
    <w:p>
      <w:pPr>
        <w:ind w:left="1700" w:right="760" w:hanging="329"/>
        <w:spacing w:after="0" w:line="282" w:lineRule="auto"/>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prepayments and accruals related to clinical trials in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3"/>
        </w:trPr>
        <w:tc>
          <w:tcPr>
            <w:tcW w:w="25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jc w:val="center"/>
              <w:ind w:right="38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37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Borders>
              <w:top w:val="single" w:sz="8" w:color="auto"/>
            </w:tcBorders>
          </w:tcPr>
          <w:p>
            <w:pPr>
              <w:spacing w:after="0"/>
              <w:rPr>
                <w:sz w:val="18"/>
                <w:szCs w:val="18"/>
                <w:color w:val="auto"/>
              </w:rPr>
            </w:pPr>
          </w:p>
        </w:tc>
        <w:tc>
          <w:tcPr>
            <w:tcW w:w="3820" w:type="dxa"/>
            <w:vAlign w:val="bottom"/>
            <w:tcBorders>
              <w:top w:val="single" w:sz="8" w:color="CCEEFF"/>
            </w:tcBorders>
            <w:gridSpan w:val="2"/>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25,229</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34,755</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Unbilled receivable from government contracts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w:t>
            </w:r>
          </w:p>
        </w:tc>
      </w:tr>
      <w:tr>
        <w:trPr>
          <w:trHeight w:val="209"/>
        </w:trPr>
        <w:tc>
          <w:tcPr>
            <w:tcW w:w="2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45,536</w:t>
            </w:r>
          </w:p>
        </w:tc>
      </w:tr>
      <w:tr>
        <w:trPr>
          <w:trHeight w:val="216"/>
        </w:trPr>
        <w:tc>
          <w:tcPr>
            <w:tcW w:w="2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11,731</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Prepaid clinical services, long-term</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24,840</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4,289</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r>
      <w:tr>
        <w:trPr>
          <w:trHeight w:val="209"/>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166,389</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91,830</w:t>
            </w:r>
          </w:p>
        </w:tc>
      </w:tr>
      <w:tr>
        <w:trPr>
          <w:trHeight w:val="20"/>
        </w:trPr>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6"/>
        </w:trPr>
        <w:tc>
          <w:tcPr>
            <w:tcW w:w="2560" w:type="dxa"/>
            <w:vAlign w:val="bottom"/>
          </w:tcPr>
          <w:p>
            <w:pPr>
              <w:spacing w:after="0"/>
              <w:rPr>
                <w:sz w:val="15"/>
                <w:szCs w:val="15"/>
                <w:color w:val="auto"/>
              </w:rPr>
            </w:pPr>
          </w:p>
        </w:tc>
        <w:tc>
          <w:tcPr>
            <w:tcW w:w="5440" w:type="dxa"/>
            <w:vAlign w:val="bottom"/>
            <w:gridSpan w:val="4"/>
          </w:tcPr>
          <w:p>
            <w:pPr>
              <w:jc w:val="center"/>
              <w:ind w:right="266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25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6,963</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government revenue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accrued current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5,634</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royalties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3,803</w:t>
            </w:r>
          </w:p>
        </w:tc>
      </w:tr>
      <w:tr>
        <w:trPr>
          <w:trHeight w:val="210"/>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13,724</w:t>
            </w:r>
          </w:p>
        </w:tc>
      </w:tr>
      <w:tr>
        <w:trPr>
          <w:trHeight w:val="216"/>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17,385</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related to sale of future royalties, net of current portion</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r>
      <w:tr>
        <w:trPr>
          <w:trHeight w:val="210"/>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107,464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34,025</w:t>
            </w:r>
          </w:p>
        </w:tc>
      </w:tr>
      <w:tr>
        <w:trPr>
          <w:trHeight w:val="209"/>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800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none issued and outstanding as of</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or 2023</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and 250,000,000 shares authorized as of December 31,</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2024 and 2023; 228,203,822 shares issued and 227,774,275 shares outstanding as of December 31, 2024</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and 153,959,853 shares issued and 153,452,833 shares outstanding as of December 31, 2023</w:t>
            </w:r>
          </w:p>
        </w:tc>
        <w:tc>
          <w:tcPr>
            <w:tcW w:w="4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535,770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467,731</w:t>
            </w:r>
          </w:p>
        </w:tc>
      </w:tr>
      <w:tr>
        <w:trPr>
          <w:trHeight w:val="198"/>
        </w:trPr>
        <w:tc>
          <w:tcPr>
            <w:tcW w:w="800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429,547 shares as of December 31, 2024 and 507,020 shares as of December 31,</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(409,574)</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58,925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57,805</w:t>
            </w:r>
          </w:p>
        </w:tc>
      </w:tr>
      <w:tr>
        <w:trPr>
          <w:trHeight w:val="210"/>
        </w:trPr>
        <w:tc>
          <w:tcPr>
            <w:tcW w:w="2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166,389</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91,830</w:t>
            </w:r>
          </w:p>
        </w:tc>
      </w:tr>
      <w:tr>
        <w:trPr>
          <w:trHeight w:val="20"/>
        </w:trPr>
        <w:tc>
          <w:tcPr>
            <w:tcW w:w="2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royalty revenue related to sale of future royalties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from government contracts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revenue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7,379</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22,584</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94,993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90,726</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(83,347)</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(82,204)</w:t>
            </w: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(82,465)</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loss per share – basic and diluted</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202,137,531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144,819,781</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(66,948)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(82,465)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available-for-sale investments, net of tax</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(66,943)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(82,167)</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92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9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as of January 1, 2023</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134,199,429</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437,992</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(327,109)</w:t>
            </w:r>
          </w:p>
        </w:tc>
        <w:tc>
          <w:tcPr>
            <w:tcW w:w="2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110,597</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September 2021</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1,362,220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ATM, net of offering costs of $103</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2023 Shelf</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16,000,000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13,599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13,600</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Registration, net of offering costs of $284</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54,720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734,675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Release of common stock for vested restricted</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1,608,809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Repurchase of common stock to satisfy tax</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(507,020)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withholding</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14,132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14,132</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investments</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(82,465)</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(82,465)</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Balances as of December 31, 2023</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153,959,853</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(507,020)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467,731</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(409,574)</w:t>
            </w:r>
          </w:p>
        </w:tc>
        <w:tc>
          <w:tcPr>
            <w:tcW w:w="2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57,805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September 2021</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7,719,641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8,802</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ATM, net of offering costs of $248</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2024</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Securities Purchase Agreement, net of offering</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15,384,615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9,945</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of $55</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the June 2024</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37,540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37,545</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net of offering costs of $2,455</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38,030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502,423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treasury stock under ESPP</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280,516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Release of common stock for vested restricted</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599,260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units</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Repurchase of common stock to satisfy tax</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(203,043)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71"/>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withholding</w:t>
            </w: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11,501</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gains on available-for-sale investments</w:t>
            </w:r>
          </w:p>
        </w:tc>
        <w:tc>
          <w:tcPr>
            <w:tcW w:w="9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(66,948)</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(66,948)</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00" w:type="dxa"/>
            <w:vAlign w:val="bottom"/>
            <w:tcBorders>
              <w:bottom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Balances as of December 31, 2024</w:t>
            </w:r>
          </w:p>
        </w:tc>
        <w:tc>
          <w:tcPr>
            <w:tcW w:w="9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228,203,822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(429,547)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535,770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(476,522)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58,925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(66,948)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discount on short-term investments, net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revenue related to sale of future royalties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receivable from government contracts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clinical services, long-term</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(60,116)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grant revenue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government revenue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(44,764)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(64,270)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73,200</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(21,324)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43,952</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common stock in the June 2024 Offering</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common stock in registered direct offering</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common stock through at-the-market facilities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proceeds from issuance of common stock through the 2024 Securities Purchase Agreement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acquired to settle employee tax withholding liabilities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treasury stock under the employee stock purchase plan</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56,562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15,243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46,013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34,755</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VAXART,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Acquisition of property and equipment included in accounts payable and other accrued current liabilities</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January 2024, the Company entered into a securities purchase agreement (the “2024 Securities Purchase Agreement”) with RA Capital Healthcare Fund, L.P. pursuant to which 15,384,615 shares of the Company’s common stock were sold to RA Capital Healthcare Fund, L.P. at an offering price of $0.65 per share pursuant to the Company’s shelf registration statement on Form S-3 (File No. 333-270671) (the “2023 Shelf Registration”). The gross proceeds from the 2024 Securities Purchase Agreement were $10.0 million and, after deducting offering expenses, the net proceeds were $9.9 million.</w:t>
      </w:r>
    </w:p>
    <w:p>
      <w:pPr>
        <w:spacing w:after="0" w:line="16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Controlled Equity Offering Sales Agreement (the “September 2021 ATM”), pursuant to which it may offer and sell, from time to time through Cantor Fitzgerald &amp; Co. and B. Riley Securities, Inc. (together, the “sales agents”), shares of its common stock having an aggregate offering price of up to $100 million. The Company filed a prospectus supplement with the SEC on September 16, 2021, a subsequent prospectus supplement with the SEC on May 9, 2023 and paid sales commissions of up to 3.0% of gross proceeds from the sale of shares. Effective October 18, 2024, the September 2021 ATM was terminated. Following such termination, the Company may not offer or sell any additional shares of its common stock under the September 2021 ATM or the related prospectus and prospectus supplement. From January 1, 2024 through October 18, 2024, 7,719,641 shares were issued and sold under the September 2021 ATM for gross proceeds of $9.1 million, which, after deducting sales commissions and expenses incurred to date, resulted in net proceeds of $8.8 million.</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Liquidity and Going Concern </w:t>
      </w:r>
      <w:r>
        <w:rPr>
          <w:rFonts w:ascii="Times New Roman" w:cs="Times New Roman" w:eastAsia="Times New Roman" w:hAnsi="Times New Roman"/>
          <w:sz w:val="18"/>
          <w:szCs w:val="18"/>
          <w:color w:val="auto"/>
        </w:rPr>
        <w:t>– The accompanying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 and pursuant to the accounting and disclosure rules and regulations of the SEC assuming the Company will continue as a going concern.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 clinical-stage biotechnology company with no product sales. Its primary source of financing is from the sale and issuance of common stock in public offerings as well as funding from the Biomedical Advanced Research and Development Authority (“HHS BARDA”), a division of the Administration for Strategic Preparedness and Response (“ASPR”) within the United States (“U.S.”) Department of Health and Human Services. In the past, we have also obtained funds from the issuance of common stock warrants, secured debt and preferred stock and from collaboration agreements. As of December 31, 2024, the Company had cash, cash equivalents and short-term investments of $51.7 million. The Company’s cash, cash equivalents and investments are not sufficient to fund the Company’s planned operations for a period of 12 months from the date the consolidated financial statements are issued.</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raising additional capital in order to continue as a going concern.</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Based on management's current plan, the Company expects to have enough cash runway into the fourth quarter of 2025. If the Company is unable to raise additional capital in sufficient amounts or on acceptable terms, management’s plans include further reducing or delaying operating expenses. These conditions raise substantial doubt about the Company’s ability to continue as a going concern for a period of one year from the date of the issuance of these consolidated financial statements. The accompanying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do not include any adjustments that might be necessary if the Company is unable to continue as a going concern.</w:t>
      </w:r>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The consolidated financial statements include the financial statements of Vaxart, Inc. and its subsidiaries. All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and balances between Vaxart, Inc. and its subsidiaries have been eliminated in consolidation.</w:t>
      </w:r>
    </w:p>
    <w:p>
      <w:pPr>
        <w:spacing w:after="0" w:line="15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the Company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affect the reported amounts of assets, liabilities (including accrued clinical and manufacturing accruals described within this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revenues and expenses and disclosure of contingent assets and liabilities in the consolidated financial statements and accompanying notes. Actual results and outcomes could differ from these estimates and assumptions.</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Currencies </w:t>
      </w:r>
      <w:r>
        <w:rPr>
          <w:rFonts w:ascii="Times New Roman" w:cs="Times New Roman" w:eastAsia="Times New Roman" w:hAnsi="Times New Roman"/>
          <w:sz w:val="18"/>
          <w:szCs w:val="18"/>
          <w:color w:val="auto"/>
        </w:rPr>
        <w:t>– Foreign exchange gains and losses for assets and liabilities of the Company’s non-U.S. subsidiaries for which the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is the U.S. dollar are recorded in foreign exchange gain or loss, net within other income and (expenses) in the Company’s consolidated statements of operations and comprehensive loss. The Company has no subsidiaries for which the local currency is the functional currency.</w:t>
      </w:r>
    </w:p>
    <w:p>
      <w:pPr>
        <w:sectPr>
          <w:pgSz w:w="11900" w:h="16838" w:orient="portrait"/>
          <w:cols w:equalWidth="0" w:num="1">
            <w:col w:w="11200"/>
          </w:cols>
          <w:pgMar w:left="320" w:top="121" w:right="379" w:bottom="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debt investments with an original maturity of three months or less when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cash equivalents. Cash equivalents, which may consist of amounts invested in money market funds, corporate bonds and commercial paper, are stated at fair value.</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 Excess cash balances may be invested in marketable debt securities. All marketable debt securities that are readily convertible to known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of cash with stated maturities greater than three months when purchased are classified as investments.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marketable debt securities at the time of purchase and reevaluates such designation at each balance sheet date. Marketable debt securities are classified and accounted for as available-for-sale. The Company does not generally intend to sell the investments and it is more likely than not that the investments will not be required to be sold before recovery of the amortized cost bases, which may be at maturity.</w:t>
      </w:r>
    </w:p>
    <w:p>
      <w:pPr>
        <w:spacing w:after="0" w:line="180"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Marketable debt securities are carried at fair value and unrealized gains and losses, net of taxes, are reported as a component of stockholders’ equity. Any realized gains or losses on the sale of marketable debt securities are determined on a specific identification method, and such gains and losses are recorded as a component of other income (expense). Available-for-sale investments are classified as either current or non-current assets based on each instrument’s underlying effective maturity date and whether the Company has the intent and ability to hold the investment for a period of greater than 12 months.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Marketable debt securities with remaining maturities of 12 months or less are classified as current and are reported as short-term investments in the consolidated balance sheets. Marketable debt securities with remaining maturities of more than 12 months for which the Company has the intent and ability to hold the investment for more than 12 months are classified as non-current and are included in long-term investments in the consolidated balance sheets.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excludes the applicable accrued interest from both the fair value and amortized cost basis of marketable debt securities for purposes of identifying and measuring an impairment. Accrued interest receivable on marketable debt securities is recorded within prepaid expenses and other current assets on the balance sheets. The Company’s accounting policy is to not measure an allowance for credit loss for accrued interest receivable and to write-off any uncollectible accrued interest receivable as a reversal of interest income in a timely manner, which is considered to be in the period in which it is determined the accrued interest will not be collected.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evaluates marketable debt securities with unrealized losses to determine whether such losses, if any, are due to credit-related factors. The Company records an allowance for credit losses when unrealized losses are due to credit-related factors. The Company evaluates, among other factors, whether the Company has the intention to sell any of its investments and whether it is more likely than not that the Company will be required to sell any of them before recovery of the amortized cost basis. Neither of these criteria were met in any period presented. In addition, the Company invests in marketable debt securities with high credit ratings that are classified in Level 1 and 2 of the fair value hierarchy and it has received and expects to continue to receive interest and principal payments as the investments become due. Based on this evaluation, as of December 31, 2024, and 2023, the Company determined that unrealized losses of its marketable debt securities were primarily attributable to changes in interest rates and other non-credit related factors. As such, no allowance for credit losses were recorded for the years ended December 31, 2024 and 2023.</w:t>
      </w:r>
    </w:p>
    <w:p>
      <w:pPr>
        <w:spacing w:after="0" w:line="18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significant concentrations of credit risk consist principally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cash equivalents, available-for-sale 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8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Unbilled Receivable from Government Contracts </w:t>
      </w:r>
      <w:r>
        <w:rPr>
          <w:rFonts w:ascii="Times New Roman" w:cs="Times New Roman" w:eastAsia="Times New Roman" w:hAnsi="Times New Roman"/>
          <w:sz w:val="18"/>
          <w:szCs w:val="18"/>
          <w:color w:val="auto"/>
        </w:rPr>
        <w:t>– Accounts receivable consists of government contract receivables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HHS BARDA for allowable cost-plus-fixed-fees and firm fixed-price, and royalty revenue receivable for sales, net of estimated returns, of Inavir and are reported at amounts expected to be collected in future periods. Unbilled receivable from government contracts consists of government revenue from HHS BARDA, which was earned and not yet billed. 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The Company has provided no allowance for credit losses as of December 31, 2024 and 2023.</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Accounts receivable and unbilled receivable from government contracts are subject to concentration risk whenever a customer has a balance that meets or exceeds 10% of the Company's total accounts receivable balance or has a balance that meets or exceeds 10% of the Company's total unbilled receivable balance. As of December 31, 2024, Daiichi Sankyo Company, Limited ("Daiichi Sankyo"), represented 52% of the Company's total accounts receivable balance, HHS BARDA represented 48% of the Company's total accounts receivable balance and HHS BARDA represented 100% of the Company's total unbilled receivable balance. As of December 31, 2023, Daiichi Sankyo represented 100% of the Company's total accounts receivable balance. As of December 31, 2023, the unbilled receivable balance was zero.</w:t>
      </w:r>
    </w:p>
    <w:p>
      <w:pPr>
        <w:spacing w:after="0" w:line="18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is carried at cost less accumulated depreciation. Depreciation is computed using the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over the estimated useful lives of the respective assets. Depreciation begins at the time the asset is placed in service. Maintenance and repairs are charged to operations as incurred. Upon sale or retirement of assets, the cost and related accumulated depreciation are removed from the consolidated balance sheets and the resulting gain or loss is reflected in other income and (expenses) in the period realized.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useful lives of the property and equipment are as follows:</w:t>
            </w:r>
          </w:p>
        </w:tc>
        <w:tc>
          <w:tcPr>
            <w:tcW w:w="48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 (in years)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 (in years)</w:t>
            </w:r>
          </w:p>
        </w:tc>
        <w:tc>
          <w:tcPr>
            <w:tcW w:w="4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w:t>
            </w:r>
          </w:p>
        </w:tc>
      </w:tr>
    </w:tbl>
    <w:p>
      <w:pPr>
        <w:sectPr>
          <w:pgSz w:w="11900" w:h="16838" w:orient="portrait"/>
          <w:cols w:equalWidth="0" w:num="1">
            <w:col w:w="11240"/>
          </w:cols>
          <w:pgMar w:left="320" w:top="121" w:right="339" w:bottom="150" w:gutter="0" w:footer="0" w:header="0"/>
        </w:sectPr>
      </w:pPr>
    </w:p>
    <w:bookmarkStart w:id="94" w:name="page95"/>
    <w:bookmarkEnd w:id="94"/>
    <w:p>
      <w:pPr>
        <w:ind w:right="2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Goodwill and Other Intangible Assets </w:t>
      </w:r>
      <w:r>
        <w:rPr>
          <w:rFonts w:ascii="Times New Roman" w:cs="Times New Roman" w:eastAsia="Times New Roman" w:hAnsi="Times New Roman"/>
          <w:sz w:val="17"/>
          <w:szCs w:val="17"/>
          <w:color w:val="auto"/>
        </w:rPr>
        <w:t>– Goodwill, which represents the excess of the purchase price over the fair value of assets acquired, is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amortized. 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w:t>
      </w:r>
    </w:p>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The Company reviews its long-lived assets, including property and equipment, goodwill and intangible assets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finite lives, for impairment in the fourth quarter of each year, and more frequently whenever events or changes in circumstances indicate the carrying amount of these assets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are less than the assets’ carrying value, the related assets will be written down to fair value. The Company assessed its developed technology as not impaired in the years ended December 31, 2024 and 2023 (see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Accrued Clinical and Manufacturing Expenses </w:t>
      </w:r>
      <w:r>
        <w:rPr>
          <w:rFonts w:ascii="Times New Roman" w:cs="Times New Roman" w:eastAsia="Times New Roman" w:hAnsi="Times New Roman"/>
          <w:sz w:val="18"/>
          <w:szCs w:val="18"/>
          <w:color w:val="auto"/>
        </w:rPr>
        <w:t>– The Company accrues for estimated costs of research and development activities conducted by third-party service providers, which include the conduct of preclinical studies and clinical trials, and contract manufacturing activities. The Company records the estimated costs of research and development activities based upon the estimated amount of services provided and includes the costs incurred but not yet invoiced within other accrued liabilities in the consolidated balance sheets and within research and development expense in the consolidated statements of operations and comprehensive loss. These costs can be a significant component of the Company’s research and development expenses.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5" w:name="page96"/>
    <w:bookmarkEnd w:id="95"/>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estimates the amount of services provided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it adjusts its accrued estimates. Although the Company does not expect its estimates to be materially different from amounts actually incurred, its understanding of the status and timing of services performed, the number of subjects enrolled, and the rate of enrollment may vary from its estimates and could result in the Company reporting amounts that are too high or too low in any particular period. The Company’s accrued expenses are dependent, in part, upon the receipt of timely and accurate reporting from contract research organizations and other third-party service providers. To date, the Company has not experienced any material differences between accrued costs and actual costs incurred.</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records operating leases as right-of-use assets and operating lease liabilities in its consolidated balance sheets for all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with terms exceeding one year. Right-of-use assets represent the right to use an underlying asset for the lease term, including extension options considered reasonably certain to be exercised, and operating lease liabilities to make lease payments. Right-of-use assets and operating lease liabilities are recognized based on the present value of lease payments over the lease term. To the extent that lease agreements do not provide an implicit rate, the Company uses its incremental borrowing rate based on information available at the lease commencement date to determine the present value of lease payments. The expense for operating lease payments is recognized on a straight-line basis over the lease term and is included in operating expenses in the Company’s consolidated statement of operations and comprehensive loss. The Company has elected to not separate lease and non-lease components of facilities leases, whereas non-lease components of equipment leases are accounted for separately from lease components.</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recognizes revenue when it transfers control of promised goods or services to its customers, in an amount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reflects the consideration which the Company expects to receive in exchange for those goods or services. To determine revenue recognition, the Company performs the following five steps:</w:t>
      </w:r>
    </w:p>
    <w:p>
      <w:pPr>
        <w:spacing w:after="0" w:line="175" w:lineRule="exact"/>
        <w:rPr>
          <w:sz w:val="20"/>
          <w:szCs w:val="20"/>
          <w:color w:val="auto"/>
        </w:rPr>
      </w:pPr>
    </w:p>
    <w:p>
      <w:pPr>
        <w:ind w:left="980" w:hanging="648"/>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w:t>
      </w:r>
    </w:p>
    <w:p>
      <w:pPr>
        <w:spacing w:after="0" w:line="252" w:lineRule="exact"/>
        <w:rPr>
          <w:rFonts w:ascii="Times New Roman" w:cs="Times New Roman" w:eastAsia="Times New Roman" w:hAnsi="Times New Roman"/>
          <w:sz w:val="18"/>
          <w:szCs w:val="18"/>
          <w:color w:val="auto"/>
        </w:rPr>
      </w:pPr>
    </w:p>
    <w:p>
      <w:pPr>
        <w:ind w:left="980" w:right="80" w:hanging="648"/>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based on estimated selling prices; and</w:t>
      </w:r>
    </w:p>
    <w:p>
      <w:pPr>
        <w:spacing w:after="0" w:line="252" w:lineRule="exact"/>
        <w:rPr>
          <w:rFonts w:ascii="Times New Roman" w:cs="Times New Roman" w:eastAsia="Times New Roman" w:hAnsi="Times New Roman"/>
          <w:sz w:val="18"/>
          <w:szCs w:val="18"/>
          <w:color w:val="auto"/>
        </w:rPr>
      </w:pPr>
    </w:p>
    <w:p>
      <w:pPr>
        <w:ind w:left="980" w:right="160" w:hanging="648"/>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each performance obligation. A performance obligation is a promise in a contract to transfer a distinct good or service to the customer and is the unit of account.</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Revenue from royalties earned as a percentage of end-user sales, including milestone payments based on achieving a specified level of sales, where a license is deemed to be the predominant item to which the royalties relate, is recognized as revenue at the later of (i) when the related sales occur, or (ii) when the performance obligation to which some or all of the royalty has been allocated has been satisfied (or partially satisfied), as required under the sales- and usage-based royalty exception.</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is recognized ratably, based on costs incurred, as the Company provides promised services to its customers in amounts that reflect the consideration that the Company expects to receive for those services.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2022, the Company accepted a $3.5 million grant to perform research and development work for the Bill &amp; Melinda Gates Foundation (the “BMGF Grant”). The BMGF Grant funds received represent a contribution with a donor-imposed condition under Accounting Standards Codification 958-605. The BMGF Grant involved the transfer of an advance deposit to the Company before specified conditions were substantially met. Therefore, the transfer of cash was recorded as restricted cash and deferred revenue. When conditions were substantially met, the refundable advance was recognized as revenue. The Company recognizes revenue under research contracts only when a contract has been executed and the contract price is fixed or determinable. Revenue from the BMGF Grant is recognized in the period during which the related costs are incurred and the related services are rendered, provided that the applicable conditions under the contract have been met. Costs of contract revenue are recorded as a component of operating expenses in the consolidated statements of operations and comprehensive loss. The Company recognized zero and $3.5 million revenue from the BMGF Grant for the years ended December 31, 2024 and 2023, respectively. The Company fully recognized revenue from the BMGF Grant during the year ended December 31, 2023</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Government Contracts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Payments to the Company under cost reimbursable contracts are provisional payments subject to adjustment upon annual audit by the government. The Company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6"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Costs </w:t>
      </w:r>
      <w:r>
        <w:rPr>
          <w:rFonts w:ascii="Times New Roman" w:cs="Times New Roman" w:eastAsia="Times New Roman" w:hAnsi="Times New Roman"/>
          <w:sz w:val="18"/>
          <w:szCs w:val="18"/>
          <w:color w:val="auto"/>
        </w:rPr>
        <w:t>– Research and development costs are expensed as incurred. Research and development costs consist primarily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and benefits, stock-based compensation, consultant fees, third-party costs for conducting clinical trials and the manufacture of clinical trial materials, certain facility costs and other costs associated with clinical trials. Payments made to other entities are under agreements that are generally</w:t>
      </w:r>
    </w:p>
    <w:p>
      <w:pPr>
        <w:sectPr>
          <w:pgSz w:w="11900" w:h="16860" w:orient="portrait"/>
          <w:cols w:equalWidth="0" w:num="1">
            <w:col w:w="11240"/>
          </w:cols>
          <w:pgMar w:left="320" w:top="121" w:right="339" w:bottom="0" w:gutter="0" w:footer="0" w:header="0"/>
        </w:sectPr>
      </w:pPr>
    </w:p>
    <w:bookmarkStart w:id="96" w:name="page97"/>
    <w:bookmarkEnd w:id="96"/>
    <w:p>
      <w:pPr>
        <w:ind w:right="540"/>
        <w:spacing w:after="0" w:line="282" w:lineRule="auto"/>
        <w:rPr>
          <w:sz w:val="20"/>
          <w:szCs w:val="20"/>
          <w:color w:val="auto"/>
        </w:rPr>
      </w:pPr>
      <w:r>
        <w:rPr>
          <w:rFonts w:ascii="Times New Roman" w:cs="Times New Roman" w:eastAsia="Times New Roman" w:hAnsi="Times New Roman"/>
          <w:sz w:val="18"/>
          <w:szCs w:val="18"/>
          <w:color w:val="auto"/>
        </w:rPr>
        <w:t>cancelable by the Company. Advance payments for research and development activities are recorded as prepaid expenses. The prepaid amounts are expensed as the related services are performed.</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one clinical research organization (“CRO”) represented 18% of the Company's total research and development costs.</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Stock-based compensation arrangements include stock option grants and restricted stock units (“RSU”s) awards 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plans, as well as shares issued under our Employee Stock Purchase Plan (“ESPP”), through which employees may purchase our common stock at a discount to the market price. Stock-based compensation is measured at the grant date for all stock-based awards made to employees and non-employees based on the fair value of the awards, net of estimated forfeitures. Compensation expense for purchases under the ESPP is recognized based on the fair value of the award on the date of offering. The fair value of these awards is estimated using the Black-Scholes valuation model. The expected term of each option is estimated by taking the arithmetic average of its original contractual term and its average vesting term.</w:t>
      </w:r>
    </w:p>
    <w:p>
      <w:pPr>
        <w:spacing w:after="0" w:line="1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(Loss) Per Share </w:t>
      </w:r>
      <w:r>
        <w:rPr>
          <w:rFonts w:ascii="Times New Roman" w:cs="Times New Roman" w:eastAsia="Times New Roman" w:hAnsi="Times New Roman"/>
          <w:sz w:val="18"/>
          <w:szCs w:val="18"/>
          <w:color w:val="auto"/>
        </w:rPr>
        <w:t>– Basic net income (loss) per share is computed by dividing net income (loss) by the weighted average number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outstanding during the period, without consideration of potential common shares.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giving effect to all potential dilutive common shares, comprising common stock issuable upon exercise of stock options, warrants, RSUs and ESPP. The Company uses the treasury-stock method to compute diluted income (loss) per share with respect to its stock options, warrants, RSUs and ESPP. For purposes of this calculation, options, warrants, RSUs and ESPP plan grants to purchase common stock are considered to be potential common shares and are only included in the calculation of diluted net income per share when their effect is dilutive. In the event of a net loss, the effects of all potentially dilutive shares are excluded from the diluted net loss per share calculation as their inclusion would be antidilutive.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Prior year data is subject to reclassification to conform to current year presentation.</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requiring public companies to disclose information about their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w:t>
      </w:r>
      <w:r>
        <w:rPr>
          <w:rFonts w:ascii="Times New Roman" w:cs="Times New Roman" w:eastAsia="Times New Roman" w:hAnsi="Times New Roman"/>
          <w:sz w:val="18"/>
          <w:szCs w:val="18"/>
          <w:u w:val="single" w:color="auto"/>
          <w:color w:val="0000EE"/>
        </w:rPr>
        <w:t>Note 14</w:t>
      </w:r>
      <w:r>
        <w:rPr>
          <w:rFonts w:ascii="Times New Roman" w:cs="Times New Roman" w:eastAsia="Times New Roman" w:hAnsi="Times New Roman"/>
          <w:sz w:val="18"/>
          <w:szCs w:val="18"/>
          <w:color w:val="auto"/>
        </w:rPr>
        <w:t xml:space="preserve"> – Segment Reporting for more information.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annual income tax disclosures for the effective tax rate reconciliation and income taxes paid. ASU 2023-09 is effective for annual reporting periods beginning after December 15, 2024, with early adoption permitted. The Company is currently assessing the impact ASU 2023-09 will have on the consolidated financial statement disclosures.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caption. ASU 2024-03 is effective for annual reporting periods 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and nonfinancial assets and liabilities that are recognized or disclosed at fair value in the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that are measured on a recurring basis as of December 31, 2024 and 2023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216"/>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23,805</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9"/>
        </w:trPr>
        <w:tc>
          <w:tcPr>
            <w:tcW w:w="3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16,489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42,983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31,403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31,403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4,958</w:t>
            </w:r>
          </w:p>
        </w:tc>
      </w:tr>
      <w:tr>
        <w:trPr>
          <w:trHeight w:val="229"/>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31,403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36,361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no financial liabilities measured on a recurring basis as of December 31, 2024 or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ind w:left="760" w:hanging="428"/>
        <w:spacing w:after="0"/>
        <w:tabs>
          <w:tab w:leader="none" w:pos="76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23,805</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25,229</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Cash and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3,352</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3,352</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39,713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34,755</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2024 and 2023, all investments were available-for-sale debt securities with remaining maturities of 12 months or less. As of December 31, 2024 and 2023, the Company held 5 and 1 securities, respectively, in an unrealized loss position for 12 months or less. Interest receivable as of December 31, 2024 and 2023, was $0.2 million and $0.1 million, respectively, and is recorded as a component of prepaid expenses and other current assets on the consolidated balance sheets.</w:t>
      </w:r>
    </w:p>
    <w:p>
      <w:pPr>
        <w:spacing w:after="0" w:line="176" w:lineRule="exact"/>
        <w:rPr>
          <w:sz w:val="20"/>
          <w:szCs w:val="20"/>
          <w:color w:val="auto"/>
        </w:rPr>
      </w:pPr>
    </w:p>
    <w:p>
      <w:pPr>
        <w:ind w:left="760" w:hanging="428"/>
        <w:spacing w:after="0"/>
        <w:tabs>
          <w:tab w:leader="none" w:pos="76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 xml:space="preserve">Accounts receivable consists of $2.7 million of government contract receivables from HHS BARDA, and $3.0 million royalty receivable totaling $5.7 million as of December 31, 2024, and $3.0 million and less than $0.1 million of accounts receivable for royalties as of December 31, 2023 and 2022, respectively. The Company has provided no allowance for credit losses as of December 31, 2024 and 2023 based on historical collection experience, customer credit worthiness, the age of accounts receivable balances, regulatory changes and current economic conditions and trends that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affect a customer’s ability to pay.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760" w:hanging="428"/>
        <w:spacing w:after="0"/>
        <w:tabs>
          <w:tab w:leader="none" w:pos="7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Unbilled Receivable from Government Contracts</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 xml:space="preserve">Unbilled receivable, which was earned and not yet billed, consists of government contracts from HHS BARDA of $6.2 million and zero as of December 31, 2024 and 2023, respectively, as detailed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Prepaid Expenses and Other Current Assets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clinical and manufacturing expenses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6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2,815</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one CRO represented 28% of the Company's total prepaid expenses balance.</w:t>
      </w:r>
    </w:p>
    <w:p>
      <w:pPr>
        <w:spacing w:after="0" w:line="221"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(e)</w:t>
        <w:tab/>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$3.7 million, and $3.8 million for the years ended December 31, 2024 and 2023, respectively. There were no impairments of the Company’s property and equipment recorded for the years ended December 31, 2024 or 2023.</w:t>
      </w:r>
    </w:p>
    <w:p>
      <w:pPr>
        <w:spacing w:after="0" w:line="158" w:lineRule="exact"/>
        <w:rPr>
          <w:sz w:val="20"/>
          <w:szCs w:val="20"/>
          <w:color w:val="auto"/>
        </w:rPr>
      </w:pPr>
    </w:p>
    <w:p>
      <w:pPr>
        <w:ind w:left="740" w:hanging="408"/>
        <w:spacing w:after="0"/>
        <w:tabs>
          <w:tab w:leader="none" w:pos="74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Prepaid Clinical Services, Long-Term</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Prepaid clinical services, long-term were $60.1 million and zero as of December 31, 2024 and December 31, 2023, respectively. The long-term prepaid clinical services represent amounts the Company has paid to a single CRO that will be utilized in over one year.</w:t>
      </w:r>
    </w:p>
    <w:p>
      <w:pPr>
        <w:spacing w:after="0" w:line="158" w:lineRule="exact"/>
        <w:rPr>
          <w:sz w:val="20"/>
          <w:szCs w:val="20"/>
          <w:color w:val="auto"/>
        </w:rPr>
      </w:pPr>
    </w:p>
    <w:p>
      <w:pPr>
        <w:ind w:left="760" w:hanging="428"/>
        <w:spacing w:after="0"/>
        <w:tabs>
          <w:tab w:leader="none" w:pos="7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Right-of-Use Assets, Net</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Right-of-use assets, net comprises facilities of $20.4 million and $24.8 million as of December 31, 2024 and 2023, respectively. The right of use of additional leased premises in California commenced in 2023, resulting in an additional $3.1 million right-of-use assets recorded in the year ended December 31, 2023.</w:t>
      </w:r>
    </w:p>
    <w:p>
      <w:pPr>
        <w:spacing w:after="0" w:line="172" w:lineRule="exact"/>
        <w:rPr>
          <w:sz w:val="20"/>
          <w:szCs w:val="20"/>
          <w:color w:val="auto"/>
        </w:rPr>
      </w:pPr>
    </w:p>
    <w:p>
      <w:pPr>
        <w:ind w:left="780" w:hanging="448"/>
        <w:spacing w:after="0"/>
        <w:tabs>
          <w:tab w:leader="none" w:pos="78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are comprised of developed technology and intellectual property. Intangible assets are carried at cost less accumulated amortization. As of December 31, 2024, developed technology and intellectual property had remaining lives of 4.9 years and 3.0 years, respectively. In each of the years ended December 31, 2024 and 2023, there have been no indicators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expense was $0.7 million for each of the years ended December 31, 2024 and 2023,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December 31, 2024, the estimated future amortization expense by year is as follows (in thousands):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120" w:type="dxa"/>
            <w:vAlign w:val="bottom"/>
          </w:tcPr>
          <w:p>
            <w:pPr>
              <w:spacing w:after="0"/>
              <w:rPr>
                <w:sz w:val="24"/>
                <w:szCs w:val="24"/>
                <w:color w:val="auto"/>
              </w:rPr>
            </w:pPr>
          </w:p>
        </w:tc>
        <w:tc>
          <w:tcPr>
            <w:tcW w:w="7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960" w:type="dxa"/>
            <w:vAlign w:val="bottom"/>
            <w:gridSpan w:val="2"/>
            <w:shd w:val="clear" w:color="auto" w:fill="CCEEFF"/>
          </w:tcPr>
          <w:p>
            <w:pPr>
              <w:jc w:val="right"/>
              <w:ind w:right="142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54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17"/>
                <w:szCs w:val="17"/>
                <w:color w:val="auto"/>
              </w:rPr>
            </w:pPr>
          </w:p>
        </w:tc>
      </w:tr>
    </w:tbl>
    <w:p>
      <w:pPr>
        <w:sectPr>
          <w:pgSz w:w="11900" w:h="16838" w:orient="portrait"/>
          <w:cols w:equalWidth="0" w:num="1">
            <w:col w:w="11180"/>
          </w:cols>
          <w:pgMar w:left="320" w:top="121" w:right="399" w:bottom="0" w:gutter="0" w:footer="0" w:header="0"/>
        </w:sectPr>
      </w:pPr>
    </w:p>
    <w:bookmarkStart w:id="100" w:name="page101"/>
    <w:bookmarkEnd w:id="100"/>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420" w:type="dxa"/>
            <w:vAlign w:val="bottom"/>
          </w:tcPr>
          <w:p>
            <w:pPr>
              <w:jc w:val="right"/>
              <w:ind w:right="679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7420" w:type="dxa"/>
            <w:vAlign w:val="bottom"/>
            <w:shd w:val="clear" w:color="auto" w:fill="CCEEFF"/>
          </w:tcPr>
          <w:p>
            <w:pPr>
              <w:jc w:val="right"/>
              <w:ind w:right="679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8"/>
                <w:szCs w:val="18"/>
                <w:color w:val="auto"/>
              </w:rPr>
            </w:pPr>
          </w:p>
        </w:tc>
      </w:tr>
      <w:tr>
        <w:trPr>
          <w:trHeight w:val="216"/>
        </w:trPr>
        <w:tc>
          <w:tcPr>
            <w:tcW w:w="7420" w:type="dxa"/>
            <w:vAlign w:val="bottom"/>
          </w:tcPr>
          <w:p>
            <w:pPr>
              <w:jc w:val="right"/>
              <w:ind w:right="679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8"/>
                <w:szCs w:val="18"/>
                <w:color w:val="auto"/>
              </w:rPr>
            </w:pPr>
          </w:p>
        </w:tc>
      </w:tr>
      <w:tr>
        <w:trPr>
          <w:trHeight w:val="216"/>
        </w:trPr>
        <w:tc>
          <w:tcPr>
            <w:tcW w:w="7420" w:type="dxa"/>
            <w:vAlign w:val="bottom"/>
            <w:tcBorders>
              <w:bottom w:val="single" w:sz="8" w:color="CCEEFF"/>
            </w:tcBorders>
            <w:shd w:val="clear" w:color="auto" w:fill="CCEEFF"/>
          </w:tcPr>
          <w:p>
            <w:pPr>
              <w:jc w:val="right"/>
              <w:ind w:right="6790"/>
              <w:spacing w:after="0"/>
              <w:rPr>
                <w:sz w:val="20"/>
                <w:szCs w:val="20"/>
                <w:color w:val="auto"/>
              </w:rPr>
            </w:pPr>
            <w:r>
              <w:rPr>
                <w:rFonts w:ascii="Times New Roman" w:cs="Times New Roman" w:eastAsia="Times New Roman" w:hAnsi="Times New Roman"/>
                <w:sz w:val="18"/>
                <w:szCs w:val="18"/>
                <w:color w:val="auto"/>
              </w:rPr>
              <w:t>2029</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Pr>
          <w:p>
            <w:pPr>
              <w:spacing w:after="0"/>
              <w:rPr>
                <w:sz w:val="18"/>
                <w:szCs w:val="18"/>
                <w:color w:val="auto"/>
              </w:rPr>
            </w:pPr>
          </w:p>
        </w:tc>
      </w:tr>
      <w:tr>
        <w:trPr>
          <w:trHeight w:val="209"/>
        </w:trPr>
        <w:tc>
          <w:tcPr>
            <w:tcW w:w="7420" w:type="dxa"/>
            <w:vAlign w:val="bottom"/>
          </w:tcPr>
          <w:p>
            <w:pPr>
              <w:jc w:val="right"/>
              <w:ind w:right="663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 w:type="dxa"/>
            <w:vAlign w:val="bottom"/>
            <w:tcBorders>
              <w:bottom w:val="single" w:sz="8" w:color="auto"/>
            </w:tcBorders>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720" w:hanging="388"/>
        <w:spacing w:after="0"/>
        <w:tabs>
          <w:tab w:leader="none" w:pos="72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Goodwill, which represents the excess of the purchase price over the fair value of assets acquired, was $4.5 million for both years ended December 31, 2024 and 2023. For the years ended December 31, 2024 and 2023, there was no change in goodwill. As of December 31, 2024 and 2023, there have been no indicators of impairment.</w:t>
      </w:r>
    </w:p>
    <w:p>
      <w:pPr>
        <w:spacing w:after="0" w:line="172" w:lineRule="exact"/>
        <w:rPr>
          <w:sz w:val="20"/>
          <w:szCs w:val="20"/>
          <w:color w:val="auto"/>
        </w:rPr>
      </w:pPr>
    </w:p>
    <w:p>
      <w:pPr>
        <w:ind w:left="720" w:hanging="388"/>
        <w:spacing w:after="0"/>
        <w:tabs>
          <w:tab w:leader="none" w:pos="72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Accounts payable amounts to $7.0 million and $1.6 million as of December 31, 2024 and 2023, respectively. As of December 31, 2024, one CRO represented 67% of the Company's total accounts payable balances.</w:t>
      </w:r>
    </w:p>
    <w:p>
      <w:pPr>
        <w:spacing w:after="0" w:line="158" w:lineRule="exact"/>
        <w:rPr>
          <w:sz w:val="20"/>
          <w:szCs w:val="20"/>
          <w:color w:val="auto"/>
        </w:rPr>
      </w:pPr>
    </w:p>
    <w:p>
      <w:pPr>
        <w:ind w:left="760" w:hanging="428"/>
        <w:spacing w:after="0"/>
        <w:tabs>
          <w:tab w:leader="none" w:pos="7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Government Revenue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Deferred government revenue represents amounts received from HHS BARDA contracts where the earnings process is not yet complete. The Company will recognize deferred government revenue once the earnings process is complete, in accordance with its revenue recognition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deferred government revenue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5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00"/>
          </w:cols>
          <w:pgMar w:left="320" w:top="121" w:right="379" w:bottom="1440" w:gutter="0" w:footer="0" w:header="0"/>
        </w:sectPr>
      </w:pPr>
    </w:p>
    <w:p>
      <w:pPr>
        <w:ind w:left="1140"/>
        <w:spacing w:after="0"/>
        <w:rPr>
          <w:sz w:val="20"/>
          <w:szCs w:val="20"/>
          <w:color w:val="auto"/>
        </w:rPr>
      </w:pPr>
      <w:r>
        <w:rPr>
          <w:rFonts w:ascii="Times New Roman" w:cs="Times New Roman" w:eastAsia="Times New Roman" w:hAnsi="Times New Roman"/>
          <w:sz w:val="17"/>
          <w:szCs w:val="17"/>
          <w:color w:val="auto"/>
        </w:rPr>
        <w:t>Balance at beginning of period</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Amounts collected or invoiced</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0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8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-445135</wp:posOffset>
            </wp:positionV>
            <wp:extent cx="570039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-162560</wp:posOffset>
            </wp:positionV>
            <wp:extent cx="570039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60" w:space="720"/>
            <w:col w:w="3520"/>
          </w:cols>
          <w:pgMar w:left="320" w:top="121" w:right="37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Amounts collected or invoiced during the year ended December 31, 2024 primarily relate to amounts received on the 2024 ATI-RRPV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but for which revenue cannot yet be recognized due to contractual milestones not being achieved and the 2024 ASPR-BARDA Contract (as defined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budgeted costs that cannot be recognized until project close out.</w:t>
      </w:r>
    </w:p>
    <w:p>
      <w:pPr>
        <w:spacing w:after="0" w:line="172"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(l)</w:t>
        <w:tab/>
        <w:t>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and manufacturing expenses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current portion</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50"/>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one CRO represented 42% of the Company's total other accrued liabilities balances.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 Related to Sale of Future Royalties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 believes the expiration of the last patent related to Inavir is in August 2036, at which time royalty revenue will cease. The Company’s royalty revenue is seasonal, in line with the flu season, so the majority of the Company’s royalty revenue and non-cash royalty revenue related to the sale of future royalties are earned in</w:t>
      </w:r>
    </w:p>
    <w:p>
      <w:pPr>
        <w:spacing w:after="0" w:line="5"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the first and fourth fiscal quarters. The royalty revenue related to Inavir recognized for the years ended December 31, 2024 and 2023, was zero. The Company recognized non-cash royalty revenue related to the sale of future royalties of $3.8 million and $3.9 million for the years ended</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December 31, 2024 and 2023, respectively. Both royalty revenue and the non-cash royalty revenue related to the sale of future royalties are subject to a 5% withholding tax in Japan, for which $0.2 million was included in income tax expense for each of the years ended December 31, 2024 and 2023, respectively, further detailed in </w:t>
      </w:r>
      <w:r>
        <w:rPr>
          <w:rFonts w:ascii="Times New Roman" w:cs="Times New Roman" w:eastAsia="Times New Roman" w:hAnsi="Times New Roman"/>
          <w:sz w:val="18"/>
          <w:szCs w:val="18"/>
          <w:u w:val="single" w:color="auto"/>
          <w:color w:val="0000EE"/>
        </w:rPr>
        <w:t>Note 6</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Government Contracts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recognized revenue from government contracts with HHS BARDA of $24.9 million and zero for the years ended December 31, 2024 and 2023,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December 31, 2024, the amount of unbilled receivable was $6.2 million and deferred revenue was $65.4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ATI-RRPV Contract</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June 2024, the Company entered into an agreement (as modified or amended from time to time, the “2024 ATI-RRPV Contract”) with Advanced Technology International,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As of December 31, 2024, pursuant to the 2024 ATI-RRPV Contract, the Company may receive funding of up to $460.7 million to conduct a Phase 2b comparative study evaluating the Company’s oral pill COVID-19 vaccine candidate against an mRNA vaccine comparator approved by the U.S. Food and Drug Administration (“FDA”). As of December 31, 2024, the 2024 ATI-RRPV Contract makes available</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an aggregate amount of up to $134.2 million, consisting of firm fixed price amounts totaling $67.9 million and reimbursement of costs incurred in trial preparation and execution activities. As of December 31, 2024, the 2024 ATI-RRPV Contract further contemplates additional funding up to $326.5 million if the Company and HHS BARDA decide to continue with the Phase 2b comparative study. The 2024 ATI-RRPV Contract is further detailed in </w:t>
      </w:r>
      <w:r>
        <w:rPr>
          <w:rFonts w:ascii="Times New Roman" w:cs="Times New Roman" w:eastAsia="Times New Roman" w:hAnsi="Times New Roman"/>
          <w:sz w:val="18"/>
          <w:szCs w:val="18"/>
          <w:u w:val="single" w:color="auto"/>
          <w:color w:val="0000EE"/>
        </w:rPr>
        <w:t>Note 15</w:t>
      </w:r>
      <w:r>
        <w:rPr>
          <w:rFonts w:ascii="Times New Roman" w:cs="Times New Roman" w:eastAsia="Times New Roman" w:hAnsi="Times New Roman"/>
          <w:sz w:val="18"/>
          <w:szCs w:val="18"/>
          <w:color w:val="auto"/>
        </w:rPr>
        <w:t>. The Company accounts for the 2024 ATI-RRPV Contract under Accounting Standards Codification 958-605 and recognizes revenue as the firm fixed-price milestone is earned and allowable cost-plus-fixed-fees are incurred. Reimbursable costs under the 2024 ATI-RRPV Contract primarily include direct labor, subcontract costs, materials, travel, and approved overhead and indirect costs. The 2024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Revenue from government contracts recognized on the 2024 ATI-RRPV Contract was $16.2 million for the year ended December 31, 2024,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$64.8 million and zero as of December 31, 2024 and December 31, 2023, respectively. The remaining deferred government revenue as of December 31, 2024 will be recognized as revenue once the earnings process is complete, including, but not limited to, the approval from the FDA and HHS BARDA to commence dosing in the 10,000-participant portion of the Phase 2b comparative study.</w:t>
      </w:r>
    </w:p>
    <w:p>
      <w:pPr>
        <w:spacing w:after="0" w:line="1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ASPR-BARDA Contract</w:t>
      </w:r>
    </w:p>
    <w:p>
      <w:pPr>
        <w:spacing w:after="0" w:line="22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January 2024, the Company was awarded a contract (as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Accounting Standards Codification 958-605 and recognizes revenue as donor-imposed conditions are met. Revenue from government contracts recognized on the 2024 ASPR-BARDA Contract was $8.7 million for the year ended December 31, 2024, based on the achievement of certain milestones under the 2024 ASPR-BARDA Contract. Deferred government revenue represents amounts that have been received from HHS BARDA and the earnings process is not yet complete. Deferred government revenue in current liabilities was $0.6 million and zero as of December 31, 2024 and December 31,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November 2022, the Company accepted a grant (the “BMGF Grant”) of $3.5 million to perform research and development work for the Bill &amp; Melinda Gates Foundation and received $2.0 million in advance that was recorded as restricted cash and deferred revenue. The Company received an additional $1.5 million in July 2023 upon completion of certain milestones. The Company recognizes revenue under research contracts only when a</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contract is executed and the contract price is fixed or determinable. Revenue from the BMGF Grant was recognized in the period during which the related costs were incurred and the related services rendered, as the applicable conditions under the contract were met. Costs of contract revenue were recorded as</w:t>
      </w:r>
    </w:p>
    <w:p>
      <w:pPr>
        <w:sectPr>
          <w:pgSz w:w="11900" w:h="16838" w:orient="portrait"/>
          <w:cols w:equalWidth="0" w:num="1">
            <w:col w:w="11220"/>
          </w:cols>
          <w:pgMar w:left="320" w:top="121" w:right="359" w:bottom="0" w:gutter="0" w:footer="0" w:header="0"/>
        </w:sectPr>
      </w:pPr>
    </w:p>
    <w:bookmarkStart w:id="102" w:name="page103"/>
    <w:bookmarkEnd w:id="102"/>
    <w:p>
      <w:pPr>
        <w:ind w:right="120"/>
        <w:spacing w:after="0" w:line="282" w:lineRule="auto"/>
        <w:rPr>
          <w:sz w:val="20"/>
          <w:szCs w:val="20"/>
          <w:color w:val="auto"/>
        </w:rPr>
      </w:pPr>
      <w:r>
        <w:rPr>
          <w:rFonts w:ascii="Times New Roman" w:cs="Times New Roman" w:eastAsia="Times New Roman" w:hAnsi="Times New Roman"/>
          <w:sz w:val="18"/>
          <w:szCs w:val="18"/>
          <w:color w:val="auto"/>
        </w:rPr>
        <w:t>a component of operating expenses in the consolidated statements of operations and comprehensive loss. The Company fully recognized revenue from the BMGF Grant during the year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Liabilities Related to Sale of Future Royalties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April 2016, 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first royalty interest period of April 1, 2016 through March 31, 2025, HCRP is entitled to the first $3.0 million and any cumulative remaining shortfall amount</w:t>
      </w:r>
    </w:p>
    <w:p>
      <w:pPr>
        <w:spacing w:after="0" w:line="3" w:lineRule="exact"/>
        <w:rPr>
          <w:sz w:val="20"/>
          <w:szCs w:val="20"/>
          <w:color w:val="auto"/>
        </w:rPr>
      </w:pPr>
    </w:p>
    <w:p>
      <w:pPr>
        <w:ind w:right="1040"/>
        <w:spacing w:after="0" w:line="250" w:lineRule="auto"/>
        <w:rPr>
          <w:sz w:val="20"/>
          <w:szCs w:val="20"/>
          <w:color w:val="auto"/>
        </w:rPr>
      </w:pPr>
      <w:r>
        <w:rPr>
          <w:rFonts w:ascii="Times New Roman" w:cs="Times New Roman" w:eastAsia="Times New Roman" w:hAnsi="Times New Roman"/>
          <w:sz w:val="18"/>
          <w:szCs w:val="18"/>
          <w:color w:val="auto"/>
        </w:rPr>
        <w:t>plus 15% of the next $1.0 million in royalties earned in each year commencing on April 1, with any excess revenue being retained by the Company. Further, during the second royalty interest period beginning April 1, 2025 and ending on December 24, 2029, HCRP is entitled to</w:t>
      </w:r>
    </w:p>
    <w:p>
      <w:pPr>
        <w:spacing w:after="0" w:line="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the first $2.7 million and any cumulative remaining shortfall amount, plus 15% of the next $1.0 million in royalties, with any excess revenue being retained by the Company. A shortfall occurs when, during an annual period ending on March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shall remain any cumulative remaining shortfall amount as of December 24, 2029, any royalties received from Daiichi Sankyo subsequently by the Company would be payable to HCRP until the cumulative remaining shortfall amount has been paid.</w:t>
      </w:r>
    </w:p>
    <w:p>
      <w:pPr>
        <w:spacing w:after="0" w:line="1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$6.0 million and $7.0 million as of December 31, 2024 and December 31, 2023, respectively.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 ended December 31, 2024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related to sale of future royalties, start of year</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 paid to HCRP</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recognized</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liability related to sale of future royalties, end of year</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portion</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portion</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color w:val="auto"/>
              </w:rPr>
              <w:t>78</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has obtained the right of use for office and manufacturing facilities under six operating lease agreements with initial terms exceeding one year. The lease term at the commencement date is determined by considering whether renewal options and termination options are reasonably assured of exercise.</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obtained the right of use of real estate located in South San Francisco, California, in November 2020 under a lease that was scheduled to terminate on September 30, 2025, which has been extended until March 31, 2029, with no additional extension option. The Company obtained the right of use of another property also located in South San Francisco, California, in June 2015 that was scheduled to terminate on April 30, 2020, with a five-year extension option that the Company exercised in July 2019, extending the lease until April 30, 2025, which has been further extended until March 31, 2029, with an option to extend for an additional eight years. In September 2021, the Company executed a lease for a facility in South San Francisco, California, with an initial term expiring on March 31, 2029, with an option to extend for an additional eight years. This lease includes a component for tenant improvements that were substantially completed in the three months ended September 30, 2022, when the lease for this component was deemed to have commenced for accounting purposes. It also includes a component for which tenant improvements of $3.1 million were completed and were recorded within right-of-use assets in the consolidated balance sheets when they were substantially completed in the three months ended March 31, 2023. Further, the Company has the right of use of a facility located in South San Francisco, California, under a lease that terminates on March 30, 2029, with a five-year renewal option. The Company also has the right of use of two facilities in Burlingame, California, under leases that terminate on May 31, 2025.</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2024, the weighted average discount rate for operating leases with initial terms of more than one year was 9.8% and the weighted average remaining term of these leases was 4.2 years. Discount rates were determined using the Company’s marginal rate of borrowing at the time each lease was executed or extended.</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undiscounted cash payment obligations for its operating lease liabilities with initial terms of more than 12 months as of December 31, 2024 (in thousands):</w:t>
      </w:r>
    </w:p>
    <w:p>
      <w:pPr>
        <w:spacing w:after="0" w:line="162"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Undiscounted total</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w:t>
            </w:r>
          </w:p>
        </w:tc>
      </w:tr>
      <w:tr>
        <w:trPr>
          <w:trHeight w:val="216"/>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1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Present value of future minimum payments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w:t>
            </w:r>
          </w:p>
        </w:tc>
      </w:tr>
      <w:tr>
        <w:trPr>
          <w:trHeight w:val="216"/>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10"/>
        </w:trPr>
        <w:tc>
          <w:tcPr>
            <w:tcW w:w="5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w:t>
            </w: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years ended December 31 are summarized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6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1,876</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2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2700" w:type="dxa"/>
            <w:vAlign w:val="bottom"/>
            <w:tcBorders>
              <w:top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6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7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ind w:left="760" w:hanging="428"/>
        <w:spacing w:after="0"/>
        <w:tabs>
          <w:tab w:leader="none" w:pos="76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the Company had approximately $11.5 million of non-cancelable purchase commitments, principally for contract manufacturing and clinical services and leasehold improvements which are expected to be paid within the next year. In addition, the Company has operating lease commitments as detailed in </w:t>
      </w:r>
      <w:r>
        <w:rPr>
          <w:rFonts w:ascii="Times New Roman" w:cs="Times New Roman" w:eastAsia="Times New Roman" w:hAnsi="Times New Roman"/>
          <w:sz w:val="18"/>
          <w:szCs w:val="18"/>
          <w:u w:val="single" w:color="auto"/>
          <w:color w:val="0000EE"/>
        </w:rPr>
        <w:t>Note 7</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760" w:hanging="428"/>
        <w:spacing w:after="0"/>
        <w:tabs>
          <w:tab w:leader="none" w:pos="76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84" w:lineRule="exact"/>
        <w:rPr>
          <w:sz w:val="20"/>
          <w:szCs w:val="20"/>
          <w:color w:val="auto"/>
        </w:rPr>
      </w:pPr>
    </w:p>
    <w:p>
      <w:pPr>
        <w:ind w:left="760" w:hanging="428"/>
        <w:spacing w:after="0"/>
        <w:tabs>
          <w:tab w:leader="none" w:pos="76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indeterminable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8"/>
          <w:szCs w:val="18"/>
          <w:i w:val="1"/>
          <w:iCs w:val="1"/>
          <w:u w:val="single" w:color="auto"/>
          <w:color w:val="auto"/>
        </w:rPr>
        <w:t>Himmelberg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was filed on August 24, 2020. The second action, titled </w:t>
      </w:r>
      <w:r>
        <w:rPr>
          <w:rFonts w:ascii="Times New Roman" w:cs="Times New Roman" w:eastAsia="Times New Roman" w:hAnsi="Times New Roman"/>
          <w:sz w:val="18"/>
          <w:szCs w:val="18"/>
          <w:i w:val="1"/>
          <w:iCs w:val="1"/>
          <w:u w:val="single" w:color="auto"/>
          <w:color w:val="auto"/>
        </w:rPr>
        <w:t>Hovhannisyan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filed on September 1, 2020 (together, the “Putative Class Action”). By Order dated September 17, 2020, the two actions were deemed related.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9, 2020, the court appointed lead plaintiffs and lead plaintiffs’ counsel.</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January 29, 2021, lead plaintiffs filed their consolidated amended complaint. On July 8, 2021, all defendants moved to dismiss the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w:t>
      </w:r>
    </w:p>
    <w:p>
      <w:pPr>
        <w:spacing w:after="0" w:line="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October 23, 2020, a complaint was filed in the U.S. District Court for the Southern District of New York, entitled </w:t>
      </w:r>
      <w:r>
        <w:rPr>
          <w:rFonts w:ascii="Times New Roman" w:cs="Times New Roman" w:eastAsia="Times New Roman" w:hAnsi="Times New Roman"/>
          <w:sz w:val="18"/>
          <w:szCs w:val="18"/>
          <w:i w:val="1"/>
          <w:iCs w:val="1"/>
          <w:u w:val="single" w:color="auto"/>
          <w:color w:val="auto"/>
        </w:rPr>
        <w:t>Roth v. Armistice Capital LLC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et</w:t>
      </w:r>
    </w:p>
    <w:p>
      <w:pPr>
        <w:spacing w:after="0" w:line="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complaint names Armistice and certain Armistice-related parties as defendants, asserting a violation of Exchange Act Section 16(b) and seeking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September 10, 2024, Plaintiff re-filed its appeal with the Second Circuit Court of Appeals, which is currently pending.</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January 8, 2021, a purported shareholder, Phillip Chan, commenced a pro se lawsuit in the U.S. District Court for the Northern District of California titled </w:t>
      </w:r>
      <w:r>
        <w:rPr>
          <w:rFonts w:ascii="Times New Roman" w:cs="Times New Roman" w:eastAsia="Times New Roman" w:hAnsi="Times New Roman"/>
          <w:sz w:val="18"/>
          <w:szCs w:val="18"/>
          <w:i w:val="1"/>
          <w:iCs w:val="1"/>
          <w:u w:val="single" w:color="auto"/>
          <w:color w:val="auto"/>
        </w:rPr>
        <w:t>Chan v. Vaxart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Inc. et 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ectPr>
          <w:pgSz w:w="11900" w:h="16838" w:orient="portrait"/>
          <w:cols w:equalWidth="0" w:num="1">
            <w:col w:w="11240"/>
          </w:cols>
          <w:pgMar w:left="320" w:top="121" w:right="339" w:bottom="105"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5" w:lineRule="exact"/>
        <w:rPr>
          <w:sz w:val="20"/>
          <w:szCs w:val="20"/>
          <w:color w:val="auto"/>
        </w:rPr>
      </w:pPr>
    </w:p>
    <w:p>
      <w:pPr>
        <w:ind w:left="760" w:hanging="428"/>
        <w:spacing w:after="0"/>
        <w:tabs>
          <w:tab w:leader="none" w:pos="76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88" w:lineRule="exact"/>
        <w:rPr>
          <w:sz w:val="20"/>
          <w:szCs w:val="20"/>
          <w:color w:val="auto"/>
        </w:rPr>
      </w:pPr>
    </w:p>
    <w:p>
      <w:pPr>
        <w:ind w:left="760" w:hanging="428"/>
        <w:spacing w:after="0"/>
        <w:tabs>
          <w:tab w:leader="none" w:pos="76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was authorized to issue 350,000,000 shares of common stock, $0.0001 par value per share, which includes an increase of 100,000,000 on June 11, 2024, when the Company’s stockholders approved an amendment to the Company’s certificate of incorporation to increase the number of authorized shares of common stock from 250,000,000 to 350,000,000 shares.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December 31, 2024, no dividends had been declared by the board of directors.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the Company entered into the 2024 Securities Purchase Agreement with RA Capital Healthcare Fund, L.P. pursuant</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which 15,384,615 shares of the Company's common stock were sold to RA Capital Healthcare Fund, L.P. at an offering price of $0.65 per share pursuant to the Company’s 2023 Shelf Registration. The gross proceeds from the 2024 Securities Purchase Agreement were $10.0 million and, after deducting offering expenses, the net proceeds were $9.9 million.</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241"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4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20,405,239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17,938,726</w:t>
            </w: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3,016,481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2,126,373</w:t>
            </w: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available for future grant</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18,046,374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5,685,806</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Award Plan available for future grant</w:t>
            </w: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1,603,750</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140,596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227,434</w:t>
            </w:r>
          </w:p>
        </w:tc>
      </w:tr>
      <w:tr>
        <w:trPr>
          <w:trHeight w:val="216"/>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2,362,902</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1,065,325</w:t>
            </w:r>
          </w:p>
        </w:tc>
      </w:tr>
      <w:tr>
        <w:trPr>
          <w:trHeight w:val="249"/>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45,575,342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27,043,664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approved increase of reserved common stock for 2019 Equity Incentive Plan and 2022 Employee Stock Purchase Plan is detailed in </w:t>
      </w:r>
      <w:r>
        <w:rPr>
          <w:rFonts w:ascii="Times New Roman" w:cs="Times New Roman" w:eastAsia="Times New Roman" w:hAnsi="Times New Roman"/>
          <w:sz w:val="18"/>
          <w:szCs w:val="18"/>
          <w:u w:val="single" w:color="auto"/>
          <w:color w:val="0000EE"/>
        </w:rPr>
        <w:t>Note 10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60" w:hanging="428"/>
        <w:spacing w:after="0"/>
        <w:tabs>
          <w:tab w:leader="none" w:pos="76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April 2024, 70,663 of the warrants outstanding as of March 31, 2024 expired unexercised. The following warrants were outstanding as of December 31, 2024,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3"/>
        </w:trPr>
        <w:tc>
          <w:tcPr>
            <w:tcW w:w="40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Securities into which warrants are convertible</w:t>
            </w:r>
          </w:p>
        </w:tc>
        <w:tc>
          <w:tcPr>
            <w:tcW w:w="100" w:type="dxa"/>
            <w:vAlign w:val="bottom"/>
          </w:tcPr>
          <w:p>
            <w:pPr>
              <w:spacing w:after="0"/>
              <w:rPr>
                <w:sz w:val="18"/>
                <w:szCs w:val="18"/>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Warrants outstanding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Exercise Price</w:t>
            </w:r>
          </w:p>
        </w:tc>
        <w:tc>
          <w:tcPr>
            <w:tcW w:w="1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Expiration Date</w:t>
            </w:r>
          </w:p>
        </w:tc>
      </w:tr>
      <w:tr>
        <w:trPr>
          <w:trHeight w:val="212"/>
        </w:trPr>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29,150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100,532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3.125</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February 2025</w:t>
            </w:r>
          </w:p>
        </w:tc>
      </w:tr>
      <w:tr>
        <w:trPr>
          <w:trHeight w:val="21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10,914</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22.99</w:t>
            </w:r>
          </w:p>
        </w:tc>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2026</w:t>
            </w: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140,596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February 27, 2025 and March 3, 2025, 100,532 and 29,150, respectively, of the warrants outstanding as of December 31, 2024, expired unexercised.</w:t>
      </w:r>
    </w:p>
    <w:p>
      <w:pPr>
        <w:sectPr>
          <w:pgSz w:w="11900" w:h="16838" w:orient="portrait"/>
          <w:cols w:equalWidth="0" w:num="1">
            <w:col w:w="11200"/>
          </w:cols>
          <w:pgMar w:left="320" w:top="121" w:right="379" w:bottom="2"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2"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April 23, 2019, the Company’s stockholders approved the adoption of the 2019 Equity Incentive Plan (the “2019 Plan”), under which the Company is authorized to issue incentive stock options, nonqualified stock options, stock appreciation rights, restricted stock awards, restricted stock units (“RSUs”), other stock awards and performance awards that may be settled in cash, stock, or other property. The 2019 Plan is designed to secure and retain the services of employees, directors and consultants, provide incentives for the Company’s employees, directors and consultants to exert maximum efforts for the success of the Company and its affiliates, and provide a means by which employees, directors and consultants may be given an opportunity to benefit from increases in the value of the Company’s common stock. Following adoption of the 2019 Plan, all previous plans were frozen, and on forfeiture, cancellation and expiration, awards under those plans are not assumed by the 2019 Plan.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issuance under the 2019 Plan was initially 1,600,000 shares, which was increased through an amendment to the 2019 Plan adopted by the Company’s stockholders (a “Plan Amendment”) on June 8, 2020, to 8,000,000, by a Plan Amendment on June 16, 2021, to 16,900,000, by a Plan Amendment on August 4, 2022, to 28,900,000, and by a Plan Amendment on June 11, 2024, to 43,900,000. Further amendments to the 2019 Plan to increase the share reserve would require stockholder approval. Awards that are forfeited or canceled generally become available for issuance again under the 2019 Plan. Awards have a maximum term of ten years from the grant date and may vest over varying periods, as specified by the Company’s board of directors for each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27, 2024, the Company’s board of directors adopted the Vaxart, Inc. 2024 Inducement Award Plan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“2024 Inducement Plan”). The 2024 Inducement Plan was adopted without stockholder approval pursuant to Nasdaq Listing Rule 5635(c)(4) and is administered by the Compensation Committee of the board of directors or the independent members of the board of directors. The board of directors reserved 3,000,000 shares of the Company’s common stock for issuance under the 2024 Inducement Plan, subject to adjustment as provided in the plan document. The terms of the 2024 Inducement Plan are substantially similar to the terms of the 2019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10"/>
          </w:tcPr>
          <w:p>
            <w:pPr>
              <w:jc w:val="right"/>
              <w:ind w:right="430"/>
              <w:spacing w:after="0"/>
              <w:rPr>
                <w:sz w:val="20"/>
                <w:szCs w:val="20"/>
                <w:color w:val="auto"/>
              </w:rPr>
            </w:pPr>
            <w:r>
              <w:rPr>
                <w:rFonts w:ascii="Times New Roman" w:cs="Times New Roman" w:eastAsia="Times New Roman" w:hAnsi="Times New Roman"/>
                <w:sz w:val="18"/>
                <w:szCs w:val="18"/>
                <w:color w:val="auto"/>
                <w:w w:val="99"/>
              </w:rPr>
              <w:t>A summary of stock option and RSU transactions for the years ended December 31, 2024 and 2023 are as follows: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Option Average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RSU Average</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12,074,692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14,725,261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808,310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(10,631,320)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7,399,849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3,231,471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(54,720)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(1,608,809)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2,444,486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(2,139,887)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1,797,948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(1,991,777)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60" w:type="dxa"/>
            <w:vAlign w:val="bottom"/>
          </w:tcPr>
          <w:p>
            <w:pPr>
              <w:spacing w:after="0"/>
              <w:rPr>
                <w:sz w:val="16"/>
                <w:szCs w:val="16"/>
                <w:color w:val="auto"/>
              </w:rPr>
            </w:pPr>
          </w:p>
        </w:tc>
        <w:tc>
          <w:tcPr>
            <w:tcW w:w="250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Balance at December 31,</w:t>
            </w: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5,685,806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17,938,726</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2,126,373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2024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Plan</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Authorized under 2019 Plan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5,309,437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1,949,543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(599,260)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1,944,001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(1,483,826)</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(460,175)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6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1,279,297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 w:type="dxa"/>
            <w:vAlign w:val="bottom"/>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19,650,124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20,405,239</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3,016,481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20,405,239 options outstanding with a weighted average exercise price of $2.49, a weighted average remaining term of 6.89 years, and an aggregate intrinsic value of $40,000. Of these options, 12,124,318 were vested, with a weighted average exercise price of $3.08, a weighted average remaining term of 5.65 years, and an aggregate intrinsic value of $35,000.</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received $30,000 for the 38,030 options exercised in the year ended December 31, 2024, which had an intrinsic value of $7,000. The aggregate intrinsic value represents the total pre-tax value (i.e., the difference between the Company’s stock price and the exercise price) of stock options outstanding as of December 31, 2024, based on the Company’s common stock closing price of $0.66 on December 31, 2024, which would have been received by the option holders had all their in-the-money options been exercised as of that date. The Company received $17,000 for the 54,720 options exercised in the year ended December 31, 2023, which had an intrinsic value of $31,000.</w:t>
      </w:r>
    </w:p>
    <w:p>
      <w:pPr>
        <w:sectPr>
          <w:pgSz w:w="11900" w:h="16838" w:orient="portrait"/>
          <w:cols w:equalWidth="0" w:num="1">
            <w:col w:w="11220"/>
          </w:cols>
          <w:pgMar w:left="320" w:top="121" w:right="359" w:bottom="1122"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122"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awarded in the years ended December 31, 2024 and 2023, was $1.01 and $0.78, respectively. Fair values were estimated using the following assumptions: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640" w:type="dxa"/>
            <w:vAlign w:val="bottom"/>
          </w:tcPr>
          <w:p>
            <w:pPr>
              <w:spacing w:after="0"/>
              <w:rPr>
                <w:sz w:val="18"/>
                <w:szCs w:val="18"/>
                <w:color w:val="auto"/>
              </w:rPr>
            </w:pPr>
          </w:p>
        </w:tc>
        <w:tc>
          <w:tcPr>
            <w:tcW w:w="16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5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 - 4.4%</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- 4.2%</w:t>
            </w:r>
          </w:p>
        </w:tc>
      </w:tr>
      <w:tr>
        <w:trPr>
          <w:trHeight w:val="197"/>
        </w:trPr>
        <w:tc>
          <w:tcPr>
            <w:tcW w:w="5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5.50 - 6.00</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5.50 - 6.00</w:t>
            </w:r>
          </w:p>
        </w:tc>
      </w:tr>
      <w:tr>
        <w:trPr>
          <w:trHeight w:val="20"/>
        </w:trPr>
        <w:tc>
          <w:tcPr>
            <w:tcW w:w="5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128.9% - 130.8%</w:t>
            </w:r>
          </w:p>
        </w:tc>
        <w:tc>
          <w:tcPr>
            <w:tcW w:w="1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127.8% - 133.8%</w:t>
            </w:r>
          </w:p>
        </w:tc>
      </w:tr>
      <w:tr>
        <w:trPr>
          <w:trHeight w:val="196"/>
        </w:trPr>
        <w:tc>
          <w:tcPr>
            <w:tcW w:w="5640" w:type="dxa"/>
            <w:vAlign w:val="bottom"/>
            <w:tcBorders>
              <w:top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8"/>
                <w:szCs w:val="18"/>
                <w:color w:val="auto"/>
              </w:rPr>
            </w:pPr>
          </w:p>
        </w:tc>
      </w:tr>
      <w:tr>
        <w:trPr>
          <w:trHeight w:val="210"/>
        </w:trPr>
        <w:tc>
          <w:tcPr>
            <w:tcW w:w="5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the unrecognized stock-based compensation cost related to outstanding unvested stock options and RSUs expected to vest was $13.5 million, which the Company expects to recognize over an estimated weighted average period of 2.1 years.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4, 2022, the 2022 Employee Stock Purchase Plan (the “2022 ESPP”) was approved by the Company’s stockholders. The Company initially reserved 1,800,000 shares of the Company’s common stock for purchase under the 2022 ESPP, which was increased by 1,800,000 shares through an amendment to the 2022 ESPP adopted by the Company’s stockholders on June 11, 2024, to 3,600,000 shares. The 2022 ESPP generally has a six-month offering period comprised of one purchase period. In May 2024, the 2022 ESPP had a one-time modification following the end of the six-month offering period ended May 31, 2024, to commence the follow-on offering period on July 1, 2024 for a five-month offering period. The purchase price of the stock is equal to 85% of the lesser of the market value of such shares at the beginning of the six-month offering period or the end of such offering period. During the year ended December 31, 2024, the Company received $0.5 million and issued 782,939 shares under the 2022 ESPP. During the year ended December 31, 2023, the Company received $0.6 million and issued 734,675 shares under the 2022 ESPP. As of December 31, 2024, 2,362,902 shares are available and reserved for future issuance under the 2022 ESPP.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related to the ESPP for the years ended December 31, 2024 and 2023, was $0.2 million and $0.4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Benefit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a tax-qualified employee savings and retirement plan commonly known as a 401(k) plan (the “Plan”), which covers the Company’s eligible employees. Pursuant to the Plan, employees may elect to defer their current compensation up to the IRS annual contribution limit of $23,000 for calendar year 2024 and $22,500 for calendar year 2023. Employees age 50 or over may elect to contribute an additional $7,500 annually for 2024 and 2023.</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Employees direct their contributions, which vest immediately, across a series of mutual funds. In the years ended December 31, 2024 and 2023, the Company matched employee contributions up to 3% of each employee’s eligible earnings, vesting immediately. The Company’s matching contributions totaled $0.5 million and $0.6 million in the years ended December 31, 2024 and 2023, respectively. The costs of administering the Plan totaled $38,000 and $28,000 in the years ended December 31, 2024 and 2023, respectively.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80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413"/>
        </w:trPr>
        <w:tc>
          <w:tcPr>
            <w:tcW w:w="680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The components of the deferred tax assets are as follows (in thousands):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48,154</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47,720</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21,676</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future royalties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r>
      <w:tr>
        <w:trPr>
          <w:trHeight w:val="209"/>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90,239</w:t>
            </w:r>
          </w:p>
        </w:tc>
      </w:tr>
      <w:tr>
        <w:trPr>
          <w:trHeight w:val="216"/>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(94,119)</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(82,500)</w:t>
            </w:r>
          </w:p>
        </w:tc>
      </w:tr>
      <w:tr>
        <w:trPr>
          <w:trHeight w:val="209"/>
        </w:trPr>
        <w:tc>
          <w:tcPr>
            <w:tcW w:w="11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7,739</w:t>
            </w: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11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r>
      <w:tr>
        <w:trPr>
          <w:trHeight w:val="210"/>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5680" w:type="dxa"/>
            <w:vAlign w:val="bottom"/>
            <w:tcBorders>
              <w:bottom w:val="single" w:sz="8" w:color="CCEEFF"/>
            </w:tcBorders>
            <w:shd w:val="clear" w:color="auto" w:fill="CCEEFF"/>
          </w:tcPr>
          <w:p>
            <w:pPr>
              <w:jc w:val="center"/>
              <w:ind w:right="263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with the expected provision for income taxes computed by applying the federal statutory income tax rate of 21% to the net loss before provision for income taxes:</w:t>
      </w:r>
    </w:p>
    <w:p>
      <w:pPr>
        <w:spacing w:after="0" w:line="15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Permanently non-deductible items</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year true-up</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55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56"/>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actual tax expense differed from the statutory federal income tax expense using a tax rate of 21% for the years ended December 31, 2024 and 2023, respectively, primarily due to foreign income taxes being taxed at different rates, nondeductible expenses, research and development tax credits, and the change in valuation allowance.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net operating loss (“NOL”) carryforwards of $221.1 million and $201.1 million for federal purposes, and $8.9 million and $87.5 million for state purposes, respectively. If not utilized, federal net operating losses of $1.7 million will begin to expire in</w:t>
      </w:r>
    </w:p>
    <w:p>
      <w:pPr>
        <w:ind w:right="80"/>
        <w:spacing w:after="0" w:line="260" w:lineRule="auto"/>
        <w:rPr>
          <w:sz w:val="20"/>
          <w:szCs w:val="20"/>
          <w:color w:val="auto"/>
        </w:rPr>
      </w:pPr>
      <w:r>
        <w:rPr>
          <w:rFonts w:ascii="Times New Roman" w:cs="Times New Roman" w:eastAsia="Times New Roman" w:hAnsi="Times New Roman"/>
          <w:sz w:val="18"/>
          <w:szCs w:val="18"/>
          <w:color w:val="auto"/>
        </w:rPr>
        <w:t>2025 and $219.4 million will be carried forward indefinitely; state net operating losses of $3.5 million will begin to expire in 2028 and $5.4 million will be carried forward indefinitely.</w:t>
      </w:r>
    </w:p>
    <w:p>
      <w:pPr>
        <w:sectPr>
          <w:pgSz w:w="11900" w:h="16838" w:orient="portrait"/>
          <w:cols w:equalWidth="0" w:num="1">
            <w:col w:w="11240"/>
          </w:cols>
          <w:pgMar w:left="320" w:top="121" w:right="339" w:bottom="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also has accumulated tax losses of $4.2 million for Australia available for carryforward against future earnings, which under relevant tax laws do not expire but may not be available under certain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Company had research and development tax credit carryforwards for federal purposes of $12.8 million and</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$9.4 million, respectively, and state research and development tax credit carryforwards of $10.0 million and $8.5 million, respectively. The federal research and development tax credit carryforwards will expire at various dates between 2039 and 2044. The state research and development tax credit carryforwards do not expire.</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Beginning on January 1, 2022, the Tax Cuts and Jobs Act (“the Act”), enacted in December 2017, eliminated the option to deduct research and development expenditures in the current period and requires taxpayers to capitalize and amortize U.S.-based and non-U.S. based research and development expenditures over five and fifteen years, respectively. This legislation does not impact the Company's current tax obligations.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a full valuation allowance, limitations under Section 382 and 383 will not impact the Company’s effective tax rate. Further analyses will be performed prior to recognizing the benefits of any losses or credits in the consolidated financial statements.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2024 and 2023. The net change in total valuation allowance was an increase of approximately $11.6 million and $16.2 million for the years ended December 31, 2024 and 2023, respectively.</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records unrecognized tax benefits, where appropriate, for all uncertain income tax positions. The Company recorded unrecognized tax benefits for uncertain tax positions of approximately $8.5 million and $6.6 million as of December 31, 2024 and 2023, respectively, of which none would impact the effective tax rate, if recognized, because the benefit would be offset by an increase in the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unrecognized tax benefits is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09"/>
        </w:trPr>
        <w:tc>
          <w:tcPr>
            <w:tcW w:w="5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8"/>
                <w:szCs w:val="18"/>
                <w:color w:val="auto"/>
              </w:rPr>
            </w:pPr>
          </w:p>
        </w:tc>
      </w:tr>
      <w:tr>
        <w:trPr>
          <w:trHeight w:val="210"/>
        </w:trPr>
        <w:tc>
          <w:tcPr>
            <w:tcW w:w="57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6"/>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benefits as a component of income tax expense. During the years ended December 31, 2024 and 2023, the Company recognized no interest and penalties associated with unrecognized tax benefits. There are no tax positions for which it is reasonably possible that the total amounts of unrecognized tax benefits will significantly increase or decrease within twelve months of the reporting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Australia, as well as with various U.S. states. The Company is subject to tax audits in all jurisdictions in which it files income tax returns. Tax audits by their very nature are often complex and can require several years to complete. There are currently no tax audits that have commenced with respect to income tax returns in any jurisdiction.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tax statute of limitations applicable to the Internal Revenue Code, the Company and its U.S. subsidiary, either standalone or as part of the consolidated group, is no longer subject to U.S. federal income tax examinations by the Internal Revenue Service for tax years before tax year 2020. Under the statute of limitations applicable to most state income tax laws, the Company is no longer subject to state income tax examinations by tax authorities for tax years before 2020 in states in which it has filed income tax returns. However, because the Company is carrying forward income tax attributes, such as net operating losses and tax credits from 2005 and earlier tax years, these attributes can still be audited when utilized on returns filed in the future. The Company is subject to foreign tax examinations by tax authorities for fiscal year 2020 and forward.</w:t>
      </w:r>
    </w:p>
    <w:p>
      <w:pPr>
        <w:sectPr>
          <w:pgSz w:w="11900" w:h="16838" w:orient="portrait"/>
          <w:cols w:equalWidth="0" w:num="1">
            <w:col w:w="11220"/>
          </w:cols>
          <w:pgMar w:left="320" w:top="121"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VAXART,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Attributable to Common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share and per share amounts):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(82,465)</w:t>
            </w:r>
          </w:p>
        </w:tc>
      </w:tr>
      <w:tr>
        <w:trPr>
          <w:trHeight w:val="197"/>
        </w:trPr>
        <w:tc>
          <w:tcPr>
            <w:tcW w:w="56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5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net loss per share – basic and diluted</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202,137,531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144,819,781</w:t>
            </w: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adjustment has been made to the net loss in the years ended December 31, 2024 and 2023, as the effect would be anti-dilutive due to the net loss.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weighted average securities were excluded from the computation of weighted average shares outstanding because they would have been antidilutive:</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20,659,336</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17,270,980</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to purchase common stock</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2,828,395</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2,931,662</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158,262</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227,434</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335,190</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402,699</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potentially dilutive securities excluded from denominator of the diluted</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23,981,183</w:t>
            </w:r>
          </w:p>
        </w:tc>
        <w:tc>
          <w:tcPr>
            <w:tcW w:w="1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20,832,775</w:t>
            </w:r>
          </w:p>
        </w:tc>
        <w:tc>
          <w:tcPr>
            <w:tcW w:w="0" w:type="dxa"/>
            <w:vAlign w:val="bottom"/>
          </w:tcPr>
          <w:p>
            <w:pPr>
              <w:spacing w:after="0"/>
              <w:rPr>
                <w:sz w:val="1"/>
                <w:szCs w:val="1"/>
                <w:color w:val="auto"/>
              </w:rPr>
            </w:pPr>
          </w:p>
        </w:tc>
      </w:tr>
      <w:tr>
        <w:trPr>
          <w:trHeight w:val="194"/>
        </w:trPr>
        <w:tc>
          <w:tcPr>
            <w:tcW w:w="57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earnings per share computation</w:t>
            </w:r>
          </w:p>
        </w:tc>
        <w:tc>
          <w:tcPr>
            <w:tcW w:w="16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CODM uses consolidated net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revenue, segment loss, significant segment expenses, and other segment items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28,700</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7,379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program costs: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Norovirus program</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3,178</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10,570</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COVID-19 program</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16,883</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3,110</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programs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Preclinical research</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1,909</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5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Process Development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51,940</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52,745</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20,780</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22,584</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c>
          <w:tcPr>
            <w:tcW w:w="9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2,969</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5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(A)</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(66,948)</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(82,465)</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(66,948)</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(82,465)</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Other segment items included in other income (expense), net.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ectPr>
          <w:pgSz w:w="11900" w:h="16838" w:orient="portrait"/>
          <w:cols w:equalWidth="0" w:num="1">
            <w:col w:w="11220"/>
          </w:cols>
          <w:pgMar w:left="320" w:top="121" w:right="359" w:bottom="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8"/>
          <w:szCs w:val="18"/>
          <w:i w:val="1"/>
          <w:iCs w:val="1"/>
          <w:color w:val="auto"/>
        </w:rPr>
        <w:t>Appointment of Mr. Kevin Finney to Board of Directors</w:t>
      </w:r>
    </w:p>
    <w:p>
      <w:pPr>
        <w:spacing w:after="0" w:line="227"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On January 24, 2025, following a recommendation by the Nominating and Governance Committee of the Board of Directors, the Company's Board appointed Kevin Finney to serve on the Board, effective January 28, 2025, until Mr. Kevin Finney’s successor is elected and qualified, or sooner in the event of his death, resignation, or removal. The Board has determined that Mr. Kevin Finney meets the requirements for independence under the applicable listing standards of The Nasdaq Stock Market LLC and the Securities Exchange Act of 1934, as amended. Mr. Kevin Finney was also appointed as a member of the Audit Committee and the Nominating and Governance Committee of the Board.</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Modification of 2024 ATI-RRPV Contract</w:t>
      </w:r>
    </w:p>
    <w:p>
      <w:pPr>
        <w:spacing w:after="0" w:line="227"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On February 7, 2025, the Company entered into Modification No. 5 (the “Modification”) to the ATI-RRPV Project Award Agreement No. 001, dated June 13, 2024 (the “Project Agreement”), with Advanced Technology International, the Rapid Response Partnership Vehicle’s Consortium Management Firm funded by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 The Company previously announced that it had completed enrollment of the sentinel cohort portion of the study comprising approximately 400 patients comparing its oral pill XBB candidate against an mRNA XBB comparator and an independent data safety monitoring board recommended the study to proceed without modifications based on initial safety assessment of 30-day data from the sentinel cohort.</w:t>
      </w:r>
    </w:p>
    <w:p>
      <w:pPr>
        <w:spacing w:after="0" w:line="192" w:lineRule="exact"/>
        <w:rPr>
          <w:sz w:val="20"/>
          <w:szCs w:val="20"/>
          <w:color w:val="auto"/>
        </w:rPr>
      </w:pPr>
    </w:p>
    <w:p>
      <w:pPr>
        <w:ind w:left="20" w:right="160"/>
        <w:spacing w:after="0" w:line="281" w:lineRule="auto"/>
        <w:rPr>
          <w:sz w:val="20"/>
          <w:szCs w:val="20"/>
          <w:color w:val="auto"/>
        </w:rPr>
      </w:pPr>
      <w:r>
        <w:rPr>
          <w:rFonts w:ascii="Times New Roman" w:cs="Times New Roman" w:eastAsia="Times New Roman" w:hAnsi="Times New Roman"/>
          <w:sz w:val="17"/>
          <w:szCs w:val="17"/>
          <w:color w:val="auto"/>
        </w:rPr>
        <w:t>The Modification increased the total amount of funding currently allotted to the Trial and available for payment to approximately $240.1 million, representing an increase of approximately $105.9 million. The Modification also clarifies the design of the Trial by specifying that the next portion of the Trial will compare the efficacy and safety of the Company’s KP.2 oral vaccine candidate against an mRNA comparator directed against KP.2 and will be comprised of 10,000 participants. The Company is awaiting approval from BARDA to commence dosing in the 10,000-participant portion of the Trial.</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Stop Work Order Received for the 2024 ATI-RRPV Contract</w:t>
      </w:r>
    </w:p>
    <w:p>
      <w:pPr>
        <w:spacing w:after="0" w:line="227"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8"/>
          <w:szCs w:val="18"/>
          <w:color w:val="auto"/>
        </w:rPr>
        <w:t>On February 21, 2025, the Company received written notification from ATI in the form of stop work orders (the “Notices”) directing the Company to stop work on all of the Company’s efforts with respect to the Project Agreement with ATI, the Rapid Response Partnership Vehicle’s Consortium Management Firm funded by HHS BARDA, with the exception that the Company may continue efforts associated with the per protocol follow-up for the 400-person cohort.</w:t>
      </w:r>
    </w:p>
    <w:p>
      <w:pPr>
        <w:spacing w:after="0" w:line="180"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The Notices stated that the stop work order is in effect for a period of 90 days after the date of the Notices and, that within a period of 90 days, ATI, as directed by the government, will either cancel the stop-work order, extend the stop work, or terminate the work covered by the letter as provided in Article 13.4 of the Project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in Operating Costs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suspended all activities related to the 10,000-participant cohort of its COVID-19 Phase 2b study and implemented additional measures to reduce expenses with specific vendors, consultants, and contractors. The Company also implemented a restructuring plan to better align its workforce with the needs of its business. The restructuring plan led to an approximately 10% reduction of the Company’s workforce on an FTE basis.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19"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Over Internal Controls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accounting and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Vaxart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 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Listed below are the names of the directors, executive officers, and key employees of the Company, their ages as of the date of this Annual Report, and their positions held with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80" w:type="dxa"/>
            <w:vAlign w:val="bottom"/>
          </w:tcPr>
          <w:p>
            <w:pPr>
              <w:spacing w:after="0"/>
              <w:rPr>
                <w:sz w:val="20"/>
                <w:szCs w:val="20"/>
                <w:color w:val="auto"/>
              </w:rPr>
            </w:pPr>
          </w:p>
        </w:tc>
        <w:tc>
          <w:tcPr>
            <w:tcW w:w="5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19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58</w:t>
            </w:r>
          </w:p>
        </w:tc>
        <w:tc>
          <w:tcPr>
            <w:tcW w:w="5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Phillip Lee</w:t>
            </w:r>
          </w:p>
        </w:tc>
        <w:tc>
          <w:tcPr>
            <w:tcW w:w="19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38</w:t>
            </w:r>
          </w:p>
        </w:tc>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19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5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Senior Vice President and Chief Scientific Officer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Edward B. Berg</w:t>
            </w:r>
          </w:p>
        </w:tc>
        <w:tc>
          <w:tcPr>
            <w:tcW w:w="19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Cummings, M.D.</w:t>
            </w:r>
          </w:p>
        </w:tc>
        <w:tc>
          <w:tcPr>
            <w:tcW w:w="19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59</w:t>
            </w:r>
          </w:p>
        </w:tc>
        <w:tc>
          <w:tcPr>
            <w:tcW w:w="5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Michael J. Finney, Ph.D.</w:t>
            </w:r>
          </w:p>
        </w:tc>
        <w:tc>
          <w:tcPr>
            <w:tcW w:w="19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66</w:t>
            </w:r>
          </w:p>
        </w:tc>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Finney</w:t>
            </w:r>
          </w:p>
        </w:tc>
        <w:tc>
          <w:tcPr>
            <w:tcW w:w="19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57</w:t>
            </w:r>
          </w:p>
        </w:tc>
        <w:tc>
          <w:tcPr>
            <w:tcW w:w="5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19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77</w:t>
            </w:r>
          </w:p>
        </w:tc>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194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74</w:t>
            </w:r>
          </w:p>
        </w:tc>
        <w:tc>
          <w:tcPr>
            <w:tcW w:w="5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9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67</w:t>
            </w:r>
          </w:p>
        </w:tc>
        <w:tc>
          <w:tcPr>
            <w:tcW w:w="5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 Set forth below is a summary of the business experience of each of our directors, executive officers, and key employees identified above:</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Lo </w:t>
      </w:r>
      <w:r>
        <w:rPr>
          <w:rFonts w:ascii="Times New Roman" w:cs="Times New Roman" w:eastAsia="Times New Roman" w:hAnsi="Times New Roman"/>
          <w:sz w:val="18"/>
          <w:szCs w:val="18"/>
          <w:color w:val="auto"/>
        </w:rPr>
        <w:t>has served as our President, Chief Executive Officer, Principal Executive Officer, and a member of the board of directors since March 2024.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over 25 years of experience in healthcare, biotechnology, and pharmaceutical industries, including over 12 years of C-level experience in publicly traded biotech companies. Prior to joining the Company, Mr. Lo served as Chief Executive Officer and a member of the board of directors of Valitor, Inc., a private biotech company, from August 2022 to March 2024. From October 2019 to August 2022, Mr. Lo was the President, Chief Executive Officer, and member of the board of directors of Zosano Pharma Corporation (“Zosano”), a clinical-stage biopharmaceutical company. On June 1, 2022, Zosano filed a voluntary petition for relief under chapter 11 of title 11 of the United States Bankruptcy Code in the United States Bankruptcy Court for the District of Delaware. From September 2015 to October 2019, he was the Chief Commercial Officer at Puma Biotechnology, Inc., a biopharmaceutical company with a focus on the development and commercialization of innovative products to enhance cancer care. At that company, he built and led business development and the worldwide commercialization of the company’s first product. Prior to that, he was Chief Commercial Officer of Corcept Therapeutics Incorporated, where he established the commercial organization to launch the company’s first product. Earlier in his career, he spent 13 years at Genentech, Inc., a member of Roche Group, in a variety of leadership roles of increasing responsibility in commercial and drug development. He worked in numerous areas, including oncology, endocrinology and other specialty therapeutics. Mr. Lo started his career in the pharmaceutical industry at AstraZeneca after holding positions in finance and operations at Kaiser Permanente. Mr. Lo obtained a Master of Health Administration from the University of Southern California and a B.S. in Microbiology from the University of California, Davis.</w:t>
      </w:r>
    </w:p>
    <w:p>
      <w:pPr>
        <w:spacing w:after="0" w:line="18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Phillip E. Lee </w:t>
      </w:r>
      <w:r>
        <w:rPr>
          <w:rFonts w:ascii="Times New Roman" w:cs="Times New Roman" w:eastAsia="Times New Roman" w:hAnsi="Times New Roman"/>
          <w:sz w:val="17"/>
          <w:szCs w:val="17"/>
          <w:color w:val="auto"/>
        </w:rPr>
        <w:t>has served as our Chief Financial Officer, Principal Financial Officer, and Principal Accounting Officer since December 2022. Prior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joining Vaxart, Mr. Lee was an executive at Clover Biopharmaceuticals, Ltd., a global biotechnology company developing novel vaccines and biologic therapeutics, and served as Chief Financial Officer from January 2021 to July 2022, Chief Operating Officer from February 2022 to July 2022, and Chief Business Officer from January 2021 to February 2022. From April 2018 to January 2021, he served at 4D Molecular Therapeutics, Inc., a clinical-stage biotherapeutics company harnessing the power of directed evolution for targeted genetic medicines, as Senior Director, Finance and was subsequently promoted to Vice President, Finance in January 2019. From December 2015 to March 2018, he served at Cytokinetics, Inc., a biopharmaceutical company focused on discovering, developing and commercializing muscle activators and muscle inhibitors, as Director, Corporate Finance and Business Analysis and was subsequently promoted to Senior Director, Corporate Finance and FP&amp;A in November 2017. He began his career as an investment banker and served at Centerview Partners LLC from June 2009 to July 2015 in positions of increasing responsibility with his last position being Principal. Mr. Lee received a B.S. in Business Administration and a B.S. in Electrical Engineering and Computer Sciences from the University of California, Berkeley.</w:t>
      </w:r>
    </w:p>
    <w:p>
      <w:pPr>
        <w:spacing w:after="0" w:line="16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Tucker, Ph.D. </w:t>
      </w:r>
      <w:r>
        <w:rPr>
          <w:rFonts w:ascii="Times New Roman" w:cs="Times New Roman" w:eastAsia="Times New Roman" w:hAnsi="Times New Roman"/>
          <w:sz w:val="18"/>
          <w:szCs w:val="18"/>
          <w:color w:val="auto"/>
        </w:rPr>
        <w:t>has served as our Chief Scientific Officer since February 2010, and as Senior Vice President since March 2021. From March 2004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2010, Dr. Tucker served as our Vice President of Research and Director of Immunology. Prior to these roles, Dr. Tucker held numerous scientific and engineering roles at various biotechnology companies. Dr. Tucker received a B.S. in chemical engineering from the University of Washington, an M.S. in chemical engineering from the University of California, Berkeley and a Ph.D. in immunology from the University of Washington.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B. Berg </w:t>
      </w:r>
      <w:r>
        <w:rPr>
          <w:rFonts w:ascii="Times New Roman" w:cs="Times New Roman" w:eastAsia="Times New Roman" w:hAnsi="Times New Roman"/>
          <w:sz w:val="18"/>
          <w:szCs w:val="18"/>
          <w:color w:val="auto"/>
        </w:rPr>
        <w:t>has served as our Senior Vice President and General Counsel since February 2022. Mr. Berg has served in senior legal positions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prominent healthcare companies for most of his more than 30-year career and has represented Fortune 500 and mid-cap companies in biotechnology, pharmaceuticals and life sciences. Prior to Vaxart, he served as VP, Deputy General Counsel for BioMarin Pharmaceutical Inc. from July 2018 to January 2022. Mr. Berg previously served as VP Legal and the head attorney supporting Novartis AG’s biosimilar / generic subsidiary, Sandoz US, from June 2016 to June 2018. Mr. Berg’s previous roles include Deputy General Counsel, Pharmaceutical Operations for Sanofi-Aventis U.S. LLC and Sanofi NA Pharmaceuticals, and Senior Corporate Counsel, Research &amp; Development at Bristol-Myers Squibb, Inc. He began his career in healthcare as Senior Attorney / Associate Counsel for Merck &amp; Co, Inc. Mr. Berg received a B.A. from Washington University in economics and political science and a law degree from the University of Pennsylvania Law School.</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Cummings, M.D. </w:t>
      </w:r>
      <w:r>
        <w:rPr>
          <w:rFonts w:ascii="Times New Roman" w:cs="Times New Roman" w:eastAsia="Times New Roman" w:hAnsi="Times New Roman"/>
          <w:sz w:val="17"/>
          <w:szCs w:val="17"/>
          <w:color w:val="auto"/>
        </w:rPr>
        <w:t>has served as our Chief Medical Officer since August 2021. Preceding his role at Vaxart, Dr. Cummings served as President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ICON Government and Public Health Solutions, Inc., a global clinical research organization, from January 2018 until September 2021, providing clinical trial and functional services to government and commercial customers, in support of global health. Prior to joining ICON, Dr. Cummings served as Vice President of Clinical Development and Translational Medicine at Novavax, Inc. from September 2015 until January 2018. There he led the development programs for all Emerging and Re-Emerging Infectious Diseases to provide a timely, broad response across the spectrum of emerging infectious diseases. Dr. Cummings retired as a Colonel in the U.S. Army after 26 years of service, during which he acquired a proven track record in vaccine, drug and diagnostics development, and served as Director of the Department of Defense (DoD) Global Emerging Infectious Diseases Surveillance and Response Systems (DoD GEIS) leading Biosurveillance for the US DoD with laboratories and partners in 71 countries and as the consultant to the Army Surgeon General for all medical research and development. A graduate of Georgetown University’s School of Medicine, Dr. Cummings trained in Internal Medicine and Infectious Diseases Fellowships at Walter Reed and the National Capital Consortium and has been elected to fellow in the American College of Physicians (FACP), the Infectious Diseases Society of America (FIDSA) and the American Society of Tropical Medicine and Hygiene (FASTMH).</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Finney, Ph.D. </w:t>
      </w:r>
      <w:r>
        <w:rPr>
          <w:rFonts w:ascii="Times New Roman" w:cs="Times New Roman" w:eastAsia="Times New Roman" w:hAnsi="Times New Roman"/>
          <w:sz w:val="18"/>
          <w:szCs w:val="18"/>
          <w:color w:val="auto"/>
        </w:rPr>
        <w:t>has served as a member of our board of directors since February 2018 and Chair of our board of directors since March 2023.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a member of Private Vaxart’s board of directors since 2007. Since October 2004, Dr. Michael J. Finney has served as the Managing Director of Finney Capital, an investment firm. Since 1986, Dr. Michael J. Finney has served as a founder, executive, director and/or investor in various life sciences companies. Currently, he sits on six private company boards. Dr. Michael J. Finney served as Vaxart’s Chief Executive Officer from 2009 to 2011, and as interim Chief Executive Officer from January 16, 2024 to March 17, 2024. Dr. Michael J. Finney received an A.B. in biochemical sciences from Harvard University and a Ph.D. in biology (genetics) from the Massachusetts Institute of Technology.</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Finney </w:t>
      </w:r>
      <w:r>
        <w:rPr>
          <w:rFonts w:ascii="Times New Roman" w:cs="Times New Roman" w:eastAsia="Times New Roman" w:hAnsi="Times New Roman"/>
          <w:sz w:val="18"/>
          <w:szCs w:val="18"/>
          <w:color w:val="auto"/>
        </w:rPr>
        <w:t>has served as a member of our board of directors since January 2025. Mr. Kevin Finney is an experienced biotech executive and director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held numerous leadership roles in the healthcare industry, leading companies from early stages of development through to commercialization. Since November 2019, Mr. Kevin Finney has served as President, Chief Executive Officer, and Chairman of the board of directors of Autobahn Therapeutics, Inc., a biotechnology company developing a portfolio of neuropsychiatric and neuroimmunologic clinical candidates leveraging its brain-targeting chemistry platform. Since January 2016, Mr. Kevin Finney has also served as vice chairman of the board of directors of Eirion Therapeutics, Inc. Mr. Kevin Finney also served on the board of directors of Anterios Inc. and Taris Biomedical (now a part of Johnson &amp; Johnson). From January 2019 to July 2019, Mr. Kevin Finney served as president and chief operating officer of Abide Therapeutics Inc., where he led the acquisition of Abide by H. Lundbeck A/S in 2019. Mr. Kevin Finney is also a founder of Zavante Therapeutics, Inc. (now known as Nabriva therapeutics PLC) and served as its chief operating officer. As a founding member, Mr. Kevin Finney led the initial financing of Zavante Therapeutics and its operations from inception in June 2015 through its sale in September 2018. Previously, Mr. Kevin Finney was vice president and head of world-wide corporate development at Allergan, Inc., an international specialty pharmaceutical company operating in more than 100 countries worldwide. In this role he led strategic corporate development and was at the center of some of the industry’s largest transactions, including Allergan’s 2015 acquisition by Actavis. During his tenure at Allergan, the company grew from $3 billion in annual revenue to $7 billion through organic and acquired growth, including substantial growth of the neurology franchise with the flagship product BOTOX®. Mr. Kevin Finney is an experienced biotech executive and director who has held numerous leadership roles in the healthcare industry, leading companies from -early stages of development through to commercialization. Mr. Kevin Finney has a B.A. in Exercise Physiology from California State University, Long Beach, and an MBA from Pepperdine Graziadio Business School.</w:t>
      </w:r>
    </w:p>
    <w:p>
      <w:pPr>
        <w:spacing w:after="0" w:line="19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Elaine J. Heron, Ph.D. </w:t>
      </w:r>
      <w:r>
        <w:rPr>
          <w:rFonts w:ascii="Times New Roman" w:cs="Times New Roman" w:eastAsia="Times New Roman" w:hAnsi="Times New Roman"/>
          <w:sz w:val="18"/>
          <w:szCs w:val="18"/>
          <w:color w:val="auto"/>
        </w:rPr>
        <w:t>has served as a member of our board of directors since August 2022. Dr. Heron has served on the board of directors of BioMarin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Inc. (Nasdaq: BMRN) since July 2002. From February 2009 to October 2015, Dr. Heron served as Chair and CEO of Amplyx Pharmaceuticals, Inc., a private drug development company acquired by Pfizer, Inc. in April 2021. She currently serves on the boards of Visgenx, Inc., a private early-stage therapeutics company, BlueWhale Bio, Inc., a private early-stage therapeutics company, and Watershed Medical, Inc., a private early-stage therapeutics company. She is also an advisor to Kyto Technology and Life Science, Inc. (OTCQB: KBPH). From July 2001 to October 2008, Dr. Heron was Chair and CEO of Labcyte Inc., a private biotechnology company. Before joining Labcyte Inc., she spent six years in positions of increasing responsibility at the Applied Biosystems Group of Applera Corporation, a biotechnology company, including the position of General Manager and Vice President of Sales and Marketing. Dr. Heron earned a B.S. in chemistry with highest distinction and a Ph.D. in analytical biochemistry from Purdue University and an M.B.A. from Pepperdine University.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Mark Watson </w:t>
      </w:r>
      <w:r>
        <w:rPr>
          <w:rFonts w:ascii="Times New Roman" w:cs="Times New Roman" w:eastAsia="Times New Roman" w:hAnsi="Times New Roman"/>
          <w:sz w:val="18"/>
          <w:szCs w:val="18"/>
          <w:color w:val="auto"/>
        </w:rPr>
        <w:t>has served as a member of our board of directors since August 2022. Mr. Watson is a Certified Public Accountant with over 40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public accounting and auditing, having spent his entire career from January 1973 to June 2013 at Deloitte Touche Tohmatsu and its predecessor, and his last position was Central Florida Marketplace Leader. He has served as lead audit partner and lead client service partner on public companies ranging from middle market firms to Fortune 500 enterprises. Mr. Watson also served as Chairman of the Board of Directors and Chairman of the Audit Committee of Inhibitor Therapeutics, Inc. and as a director and chair of the Audit Committee of Sykes Enterprises, Inc and BioDelivery Sciences International, Inc. Mr. Watson served as a trustee of Tekla World Healthcare Fund (THW), Tekla Healthcare Opportunities Fund (THW), Tekla Healthcare Investors (HQH), and Tekla Life Sciences Investors (HQL) until the Fall of 2023. Mr. Watson also serves on the Board of Moffitt Cancer Center and as its Audit Committee Chair. As a member of American Institute of Certified Public Accountants and the Florida Institute of Certified Public Accountants. He received his undergraduate degree in Accounting from Marquette University.</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Wheadon, M.D. </w:t>
      </w:r>
      <w:r>
        <w:rPr>
          <w:rFonts w:ascii="Times New Roman" w:cs="Times New Roman" w:eastAsia="Times New Roman" w:hAnsi="Times New Roman"/>
          <w:sz w:val="18"/>
          <w:szCs w:val="18"/>
          <w:color w:val="auto"/>
        </w:rPr>
        <w:t>has served as a member of our board of directors since April 2021. He served as Senior Vice President, Global Regulatory Affairs,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Safety and Quality Assurance for AstraZeneca Pharmaceuticals from 2014 to 2019 and as Executive Vice President, Research and Advocacy at the Juvenile Diabetes Research Foundation from 2013 to 2014. From 2009 to 2013, Dr. Wheadon served as Senior Vice President, Scientific and Regulatory Affairs and as a member of the Management Committee of the Pharmaceutical Research and Manufacturers of America (“PhRMA”). Prior to his joining PhRMA, Dr. Wheadon held senior regulatory and clinical development leader roles at Abbott Laboratories and GlaxoSmithKline plc. Dr. Wheadon began his career as a clinical research physician in neuroscience at Eli Lilly &amp; Company. Dr. Wheadon currently serves on the board of directors of Sotera Health, Inc.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has, during the past ten years, been involved in any legal proceedings that are required to be disclosed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2024. During the fiscal year ended December 31, 2024, each of Messrs. Lee, Tucker, Berg, and Cummings filed one late Form 4 with respect to one transaction.</w:t>
      </w:r>
    </w:p>
    <w:p>
      <w:pPr>
        <w:spacing w:after="0" w:line="18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To our knowledge, based solely on a review of the reports filed electronically with the SEC during the Company’s most recent fiscal year and, where applicable, written representations that no other reports were required, we believe that all other Section 16(a) filing requirements applicable to our executive officers, directors, and greater than 10% beneficial owners were complied with in a timely manner during the fiscal year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Conduct that applies to all officers, directors, and employees, including our principal executive officer, principal financial officer and principal accounting officer. The Code of Conduct is available on the Investors section of our website at </w:t>
      </w:r>
      <w:r>
        <w:rPr>
          <w:rFonts w:ascii="Times New Roman" w:cs="Times New Roman" w:eastAsia="Times New Roman" w:hAnsi="Times New Roman"/>
          <w:sz w:val="18"/>
          <w:szCs w:val="18"/>
          <w:i w:val="1"/>
          <w:iCs w:val="1"/>
          <w:color w:val="auto"/>
        </w:rPr>
        <w:t>http://www.vaxart.com</w:t>
      </w:r>
      <w:r>
        <w:rPr>
          <w:rFonts w:ascii="Times New Roman" w:cs="Times New Roman" w:eastAsia="Times New Roman" w:hAnsi="Times New Roman"/>
          <w:sz w:val="18"/>
          <w:szCs w:val="18"/>
          <w:color w:val="auto"/>
        </w:rPr>
        <w:t>. The Code of Conduct is a “code of ethics,” as defined in Item 406(b) of Regulation S-K. If we make any substantive amendments to the Code of Conduct or grant any waiver from a provision of the Code of Conduct to any executive officer or director, we will promptly disclose the nature of the amendment or waiver on our website. The Company’s website address is provided as an inactive textual reference only.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stockholders may recommend nominees to our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members of our Audit Committee are Mr. Kevin Finney, Dr. Heron, and Mr. Watson. Mr. Watson serves as Chair of the Audit Committee. The board of directors reviews the Nasdaq listing standards definition of independence for Audit Committee members on an annual basis and has determined that all members of the Audit Committee are independent (as independence is currently defined in Rule 5605(c)(2)(A)(i) and (ii) of the Nasdaq listing standards). The board of directors determined that Mr. Watson qualifies as an “audit committee financial expert,” as defined in applicable SEC rules. The board of directors made a qualitative assessment of Mr. Watson’s level of knowledge and experience based on a number of factors, including Mr. Watson’s over 40 years of experience in public accounting and auditing and status as a Certified Public Accountant.</w:t>
      </w:r>
    </w:p>
    <w:p>
      <w:pPr>
        <w:spacing w:after="0" w:line="18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primary purpose of the Audit Committee is to discharge the responsibilities of the board of directors with respect to our accounting, financial, and other reporting and internal control practices and to oversee its independent registered accounting firm. Specific responsibilities of the Audit Committee include:</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Company’s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sz w:val="20"/>
          <w:szCs w:val="20"/>
          <w:color w:val="auto"/>
        </w:rPr>
      </w:pPr>
    </w:p>
    <w:p>
      <w:pPr>
        <w:ind w:left="240" w:right="800" w:hanging="120"/>
        <w:spacing w:after="0" w:line="282" w:lineRule="auto"/>
        <w:rPr>
          <w:sz w:val="20"/>
          <w:szCs w:val="20"/>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auditors, the Company’s interim and year-end operating results;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●developing procedures for employees to anonymously submit concerns about questionable accounting, ethical, and auditing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●reviewing policies on risk assessment and risk management;</w:t>
      </w:r>
    </w:p>
    <w:p>
      <w:pPr>
        <w:spacing w:after="0" w:line="223" w:lineRule="exact"/>
        <w:rPr>
          <w:sz w:val="20"/>
          <w:szCs w:val="20"/>
          <w:color w:val="auto"/>
        </w:rPr>
      </w:pPr>
    </w:p>
    <w:p>
      <w:pPr>
        <w:ind w:left="240" w:right="220" w:hanging="120"/>
        <w:spacing w:after="0" w:line="284" w:lineRule="auto"/>
        <w:rPr>
          <w:sz w:val="20"/>
          <w:szCs w:val="20"/>
          <w:color w:val="auto"/>
        </w:rPr>
      </w:pPr>
      <w:r>
        <w:rPr>
          <w:rFonts w:ascii="Times New Roman" w:cs="Times New Roman" w:eastAsia="Times New Roman" w:hAnsi="Times New Roman"/>
          <w:sz w:val="18"/>
          <w:szCs w:val="18"/>
          <w:color w:val="auto"/>
        </w:rPr>
        <w:t>●reviewing with management the type and presentation of the Company’s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disclosures and the adequacy and effectiveness of applicable internal controls related to such disclosures;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●reviewing related party transactions in accordance with the Company’s policies and procedures with respect to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●reviewing cyber risk on a quarterly basis and reporting to the board of directors;</w:t>
      </w:r>
    </w:p>
    <w:p>
      <w:pPr>
        <w:spacing w:after="0" w:line="225" w:lineRule="exact"/>
        <w:rPr>
          <w:sz w:val="20"/>
          <w:szCs w:val="20"/>
          <w:color w:val="auto"/>
        </w:rPr>
      </w:pPr>
    </w:p>
    <w:p>
      <w:pPr>
        <w:ind w:left="240" w:right="60" w:hanging="120"/>
        <w:spacing w:after="0" w:line="266" w:lineRule="auto"/>
        <w:rPr>
          <w:sz w:val="20"/>
          <w:szCs w:val="20"/>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independent auditor’s internal quality control procedures, any material issues with such procedures, and any steps taken to deal with such issues when required by applicable law, as well as all relationships between the independent auditor and the Company or any of its subsidiaries; and</w:t>
      </w:r>
    </w:p>
    <w:p>
      <w:pPr>
        <w:spacing w:after="0" w:line="176" w:lineRule="exact"/>
        <w:rPr>
          <w:sz w:val="20"/>
          <w:szCs w:val="20"/>
          <w:color w:val="auto"/>
        </w:rPr>
      </w:pPr>
    </w:p>
    <w:p>
      <w:pPr>
        <w:ind w:left="240" w:hanging="120"/>
        <w:spacing w:after="0" w:line="282" w:lineRule="auto"/>
        <w:rPr>
          <w:sz w:val="20"/>
          <w:szCs w:val="20"/>
          <w:color w:val="auto"/>
        </w:rPr>
      </w:pPr>
      <w:r>
        <w:rPr>
          <w:rFonts w:ascii="Times New Roman" w:cs="Times New Roman" w:eastAsia="Times New Roman" w:hAnsi="Times New Roman"/>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2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Company has adopted an insider trading policy that applies to any and all transactions by our directors, officers, and other employees, as well as consultants, contractors, advisors, and agents of the Company in our securities. Our insider trading policy prohibits such persons from engaging in speculative trading activities, including hedging transactions (such as zero-cost collars and forward sale contracts) or other inherently speculative transactions with respect to our securities, and from pledging our securities as collateral for any loans. It also prohibits such persons from purchasing or selling our securities while in possession of material nonpublic information and contains restrictions relating to pre-clearance procedures and blackout periods.</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our insider trading policy is reasonably designed to promote compliance with applicable U.S. federal securities laws and listing standards applicable to companies listed on The Nasdaq Capital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section describes the 2024 compensation program established by the Compensation Committee for our named executive officers. Our named executive officers for 2024 were: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8480" w:type="dxa"/>
            <w:vAlign w:val="bottom"/>
            <w:shd w:val="clear" w:color="auto" w:fill="CCEEFF"/>
          </w:tcPr>
          <w:p>
            <w:pPr>
              <w:ind w:left="980"/>
              <w:spacing w:after="0" w:line="210" w:lineRule="exact"/>
              <w:rPr>
                <w:sz w:val="20"/>
                <w:szCs w:val="20"/>
                <w:color w:val="auto"/>
              </w:rPr>
            </w:pPr>
            <w:r>
              <w:rPr>
                <w:rFonts w:ascii="Times New Roman" w:cs="Times New Roman" w:eastAsia="Times New Roman" w:hAnsi="Times New Roman"/>
                <w:sz w:val="15"/>
                <w:szCs w:val="15"/>
                <w:color w:val="auto"/>
              </w:rPr>
              <w:t>President and Chief Executive Officer</w:t>
            </w:r>
            <w:r>
              <w:rPr>
                <w:rFonts w:ascii="Times New Roman" w:cs="Times New Roman" w:eastAsia="Times New Roman" w:hAnsi="Times New Roman"/>
                <w:sz w:val="24"/>
                <w:szCs w:val="24"/>
                <w:color w:val="auto"/>
                <w:vertAlign w:val="superscript"/>
              </w:rPr>
              <w:t>(1)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Michael J. Finney, Ph.D.</w:t>
            </w:r>
          </w:p>
        </w:tc>
        <w:tc>
          <w:tcPr>
            <w:tcW w:w="8480" w:type="dxa"/>
            <w:vAlign w:val="bottom"/>
          </w:tcPr>
          <w:p>
            <w:pPr>
              <w:ind w:left="980"/>
              <w:spacing w:after="0" w:line="216" w:lineRule="exact"/>
              <w:rPr>
                <w:sz w:val="20"/>
                <w:szCs w:val="20"/>
                <w:color w:val="auto"/>
              </w:rPr>
            </w:pPr>
            <w:r>
              <w:rPr>
                <w:rFonts w:ascii="Times New Roman" w:cs="Times New Roman" w:eastAsia="Times New Roman" w:hAnsi="Times New Roman"/>
                <w:sz w:val="16"/>
                <w:szCs w:val="16"/>
                <w:color w:val="auto"/>
              </w:rPr>
              <w:t>Interim Chief Executive Officer</w:t>
            </w:r>
            <w:r>
              <w:rPr>
                <w:rFonts w:ascii="Times New Roman" w:cs="Times New Roman" w:eastAsia="Times New Roman" w:hAnsi="Times New Roman"/>
                <w:sz w:val="25"/>
                <w:szCs w:val="25"/>
                <w:color w:val="auto"/>
                <w:vertAlign w:val="superscript"/>
              </w:rPr>
              <w:t>(2)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Floroiu, M.B.A.</w:t>
            </w:r>
          </w:p>
        </w:tc>
        <w:tc>
          <w:tcPr>
            <w:tcW w:w="8480" w:type="dxa"/>
            <w:vAlign w:val="bottom"/>
            <w:shd w:val="clear" w:color="auto" w:fill="CCEEFF"/>
          </w:tcPr>
          <w:p>
            <w:pPr>
              <w:ind w:left="980"/>
              <w:spacing w:after="0" w:line="216" w:lineRule="exact"/>
              <w:rPr>
                <w:sz w:val="20"/>
                <w:szCs w:val="20"/>
                <w:color w:val="auto"/>
              </w:rPr>
            </w:pPr>
            <w:r>
              <w:rPr>
                <w:rFonts w:ascii="Times New Roman" w:cs="Times New Roman" w:eastAsia="Times New Roman" w:hAnsi="Times New Roman"/>
                <w:sz w:val="16"/>
                <w:szCs w:val="16"/>
                <w:color w:val="auto"/>
              </w:rPr>
              <w:t>Former President and Chief Executive Officer</w:t>
            </w:r>
            <w:r>
              <w:rPr>
                <w:rFonts w:ascii="Times New Roman" w:cs="Times New Roman" w:eastAsia="Times New Roman" w:hAnsi="Times New Roman"/>
                <w:sz w:val="25"/>
                <w:szCs w:val="25"/>
                <w:color w:val="auto"/>
                <w:vertAlign w:val="superscript"/>
              </w:rPr>
              <w:t>(3)</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James Cummings, M.D.</w:t>
            </w:r>
          </w:p>
        </w:tc>
        <w:tc>
          <w:tcPr>
            <w:tcW w:w="8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8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Senior Vice President and Chief Scientific Officer</w:t>
            </w:r>
          </w:p>
        </w:tc>
      </w:tr>
    </w:tbl>
    <w:p>
      <w:pPr>
        <w:spacing w:after="0" w:line="122"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Lo was appointed to serve as President and Chief Executive Officer on March 18, 2024.</w:t>
      </w:r>
    </w:p>
    <w:p>
      <w:pPr>
        <w:spacing w:after="0" w:line="1" w:lineRule="exact"/>
        <w:rPr>
          <w:rFonts w:ascii="Times New Roman" w:cs="Times New Roman" w:eastAsia="Times New Roman" w:hAnsi="Times New Roman"/>
          <w:sz w:val="27"/>
          <w:szCs w:val="27"/>
          <w:color w:val="auto"/>
          <w:vertAlign w:val="superscript"/>
        </w:rPr>
      </w:pPr>
    </w:p>
    <w:p>
      <w:pPr>
        <w:ind w:left="280" w:right="220" w:hanging="272"/>
        <w:spacing w:after="0" w:line="187" w:lineRule="auto"/>
        <w:tabs>
          <w:tab w:leader="none" w:pos="2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Dr. Michael J. Finney served as Interim Chief Executive Officer from January 16, 2024, until Mr. Lo’s appointment as President and Chief Executive Officer on March 18, 2024.</w:t>
      </w:r>
    </w:p>
    <w:p>
      <w:pPr>
        <w:ind w:left="280" w:hanging="272"/>
        <w:spacing w:after="0" w:line="180" w:lineRule="auto"/>
        <w:tabs>
          <w:tab w:leader="none" w:pos="28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Mr. Floroiu resigned as President and Chief Executive Officer of the Company on January 15,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Objectives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objectives for 2024 are outlined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9520" w:type="dxa"/>
            <w:vAlign w:val="bottom"/>
            <w:tcBorders>
              <w:bottom w:val="single" w:sz="8" w:color="auto"/>
            </w:tcBorders>
          </w:tcPr>
          <w:p>
            <w:pPr>
              <w:spacing w:after="0"/>
              <w:rPr>
                <w:sz w:val="20"/>
                <w:szCs w:val="20"/>
                <w:color w:val="auto"/>
              </w:rPr>
            </w:pPr>
          </w:p>
        </w:tc>
      </w:tr>
      <w:tr>
        <w:trPr>
          <w:trHeight w:val="191"/>
        </w:trPr>
        <w:tc>
          <w:tcPr>
            <w:tcW w:w="17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Pay-For-Performance</w:t>
            </w:r>
          </w:p>
        </w:tc>
        <w:tc>
          <w:tcPr>
            <w:tcW w:w="952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Emphasize performance-based compensation to motivate executives to achieve strong financial, operational and individual</w:t>
            </w:r>
          </w:p>
        </w:tc>
      </w:tr>
      <w:tr>
        <w:trPr>
          <w:trHeight w:val="234"/>
        </w:trPr>
        <w:tc>
          <w:tcPr>
            <w:tcW w:w="1720" w:type="dxa"/>
            <w:vAlign w:val="bottom"/>
            <w:shd w:val="clear" w:color="auto" w:fill="CCEEFF"/>
          </w:tcPr>
          <w:p>
            <w:pPr>
              <w:spacing w:after="0"/>
              <w:rPr>
                <w:sz w:val="20"/>
                <w:szCs w:val="20"/>
                <w:color w:val="auto"/>
              </w:rPr>
            </w:pPr>
          </w:p>
        </w:tc>
        <w:tc>
          <w:tcPr>
            <w:tcW w:w="9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performance in a manner that balances short-term and long-term results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Talent Retention</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Attract and retain high-caliber executives who can effectively manage our complex global business.</w:t>
            </w:r>
          </w:p>
        </w:tc>
      </w:tr>
      <w:tr>
        <w:trPr>
          <w:trHeight w:val="198"/>
        </w:trPr>
        <w:tc>
          <w:tcPr>
            <w:tcW w:w="1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Alignment with</w:t>
            </w:r>
          </w:p>
        </w:tc>
        <w:tc>
          <w:tcPr>
            <w:tcW w:w="9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Align our executives’ interests with those of our stockholders by making stock-based incentives a core element of our</w:t>
            </w:r>
          </w:p>
        </w:tc>
      </w:tr>
      <w:tr>
        <w:trPr>
          <w:trHeight w:val="23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Interests</w:t>
            </w:r>
          </w:p>
        </w:tc>
        <w:tc>
          <w:tcPr>
            <w:tcW w:w="9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executives’ compensation.</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Pay-for-Performance</w:t>
            </w:r>
          </w:p>
        </w:tc>
        <w:tc>
          <w:tcPr>
            <w:tcW w:w="9520" w:type="dxa"/>
            <w:vAlign w:val="bottom"/>
          </w:tcPr>
          <w:p>
            <w:pPr>
              <w:spacing w:after="0"/>
              <w:rPr>
                <w:sz w:val="24"/>
                <w:szCs w:val="24"/>
                <w:color w:val="auto"/>
              </w:rPr>
            </w:pPr>
          </w:p>
        </w:tc>
      </w:tr>
    </w:tbl>
    <w:p>
      <w:pPr>
        <w:spacing w:after="0" w:line="19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guiding principle of our compensation philosophy is that pay should be linked to performance and that the interests of executives and stockholders should be aligned. That principle is embedded in our compensation program, which is designed to optimize alignment between executive pay and actual results.</w:t>
      </w:r>
    </w:p>
    <w:p>
      <w:pPr>
        <w:spacing w:after="0" w:line="174"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color w:val="auto"/>
        </w:rPr>
        <w:t>As described below, the variable components of our compensation program for 2024 were short-term incentives (“</w:t>
      </w:r>
      <w:r>
        <w:rPr>
          <w:rFonts w:ascii="Times New Roman" w:cs="Times New Roman" w:eastAsia="Times New Roman" w:hAnsi="Times New Roman"/>
          <w:sz w:val="18"/>
          <w:szCs w:val="18"/>
          <w:i w:val="1"/>
          <w:iCs w:val="1"/>
          <w:color w:val="auto"/>
        </w:rPr>
        <w:t>STI</w:t>
      </w:r>
      <w:r>
        <w:rPr>
          <w:rFonts w:ascii="Times New Roman" w:cs="Times New Roman" w:eastAsia="Times New Roman" w:hAnsi="Times New Roman"/>
          <w:sz w:val="18"/>
          <w:szCs w:val="18"/>
          <w:color w:val="auto"/>
        </w:rPr>
        <w:t>”) and long-term incentives (“</w:t>
      </w:r>
      <w:r>
        <w:rPr>
          <w:rFonts w:ascii="Times New Roman" w:cs="Times New Roman" w:eastAsia="Times New Roman" w:hAnsi="Times New Roman"/>
          <w:sz w:val="18"/>
          <w:szCs w:val="18"/>
          <w:i w:val="1"/>
          <w:iCs w:val="1"/>
          <w:color w:val="auto"/>
        </w:rPr>
        <w:t>LTI</w:t>
      </w:r>
      <w:r>
        <w:rPr>
          <w:rFonts w:ascii="Times New Roman" w:cs="Times New Roman" w:eastAsia="Times New Roman" w:hAnsi="Times New Roman"/>
          <w:sz w:val="18"/>
          <w:szCs w:val="18"/>
          <w:color w:val="auto"/>
        </w:rPr>
        <w:t>”). Our STI opportunities were provided under an annual cash bonus plan, the payout of which was dependent on corporate and individual performance. Our LTI opportunities were provided through stock options and restricted stock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22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The Compensation Committee has considered the results of the most recent stockholder advisory vote on executive compensation in determining compensation policies and decisions. The Company received support from our stockholders for our executive compensation program in 2024, with a favorable “say-on-pay” vote at our 2024 annual meeting of approximately 67% of the votes cast. The Compensation Committee viewed this result as confirmation that our compensation program is appropriately structured to support our strategic initiatives and our pay-for-performance commitment.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Practices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Compensation Levels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believe that each element of our compensation program should remain competitive in order to retain, and, if necessary, attract experienced, high-caliber executives.</w:t>
      </w:r>
    </w:p>
    <w:p>
      <w:pPr>
        <w:spacing w:after="0" w:line="1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When setting 2024 compensation levels for the named executive officers, the Compensation Committee retained Aon Consulting, Inc.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 as its independent compensation consultant, reporting directly to the Compensation Committee and serving at the sole discretion of the Compensation Committee. During its engagement, Aon was asked to review competitive compensation data, including pay mix and compensation levels. The compensation data was derived from several sources, including the companies in a compensation peer group established by the Compensation Committee, upon advice of Aon, and select compensation surveys. Each of these sources is described below.</w:t>
      </w:r>
    </w:p>
    <w:p>
      <w:pPr>
        <w:spacing w:after="0" w:line="18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2024, the Compensation Committee generally attempted to structure compensation for named executive officers at approximately the 25th to 50th percentile of the market data. The Compensation Committee, however, retained discretion to adjust specific compensation elements and levels above or below these guidelines in order to respond to market conditions, promotions, new hires, individual performance or other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Peer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after obtaining advice from Aon, established the following criteria for the 2024 compensation peer group:</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●U.S.-based, publicly traded, pre-commercial biopharmaceutical companies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●Headcount generally between 1/3 and 3x the Company’s headcount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capitalization generally between 1/3 and 3x the Company’s market 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criteria, the members of the compensation peer group for 2024 were as follows: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Adverum Biotechnologies</w:t>
            </w:r>
          </w:p>
        </w:tc>
        <w:tc>
          <w:tcPr>
            <w:tcW w:w="7480" w:type="dxa"/>
            <w:vAlign w:val="bottom"/>
            <w:tcBorders>
              <w:top w:val="single" w:sz="8" w:color="auto"/>
            </w:tcBorders>
          </w:tcPr>
          <w:p>
            <w:pPr>
              <w:ind w:left="1860"/>
              <w:spacing w:after="0" w:line="191" w:lineRule="exact"/>
              <w:rPr>
                <w:sz w:val="20"/>
                <w:szCs w:val="20"/>
                <w:color w:val="auto"/>
              </w:rPr>
            </w:pPr>
            <w:r>
              <w:rPr>
                <w:rFonts w:ascii="Times New Roman" w:cs="Times New Roman" w:eastAsia="Times New Roman" w:hAnsi="Times New Roman"/>
                <w:sz w:val="18"/>
                <w:szCs w:val="18"/>
                <w:color w:val="auto"/>
              </w:rPr>
              <w:t>Inhibrx Biosciences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Allakos</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Inovio Pharmaceuticals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Altimmune</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Iteos Therapeutics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ALX Oncology</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Jasper Therapeutics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Arcturus Therapeutics</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Kezar Life Sciences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Armata Pharmaceuticals</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Ocugen</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Atea Pharmaceuticals</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RAPT Therapeutics</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Cidara Therapeutics</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Sutro Biopharma</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Gossamer Bio</w:t>
            </w:r>
          </w:p>
        </w:tc>
        <w:tc>
          <w:tcPr>
            <w:tcW w:w="7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Vor Biopharma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also reviews market data from the Radford McLagan Compensation Database, which is provided by Aon.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Total Direct Compensation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brief summary of our total direct compensation - consisting of base salary, STI opportunities and LTI opportunities - for our named executive officers is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Salaries</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provide a base salary to retain and attract key executive talent and to align our compensation with market practices. Base salaries are reviewed and established by the Compensation Committee on a competitive basis each year to align with market levels.</w:t>
      </w:r>
    </w:p>
    <w:p>
      <w:pPr>
        <w:spacing w:after="0" w:line="16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noted above, Mr. Floroiu resigned as Chief Executive Officer on January 15, 2024, and therefore the Compensation Committee did not approve any adjustment to his base salary for 2024. Dr. Michael J. Finney agreed to serve as Interim Chief Executive Officer upon Mr. Floroiu’s resignation and received a base salary at an annualized rate of $595,000. When Mr. Lo was appointed to serve as Chief Executive Officer, effective March 18, 2024, he received an annual base salary of $600,000.</w:t>
      </w:r>
    </w:p>
    <w:p>
      <w:pPr>
        <w:spacing w:after="0" w:line="18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During the annual performance review process in February 2024, the Compensation Committee approved a 3.5% merit increase for each of Dr. Cummings and Dr. Tucker, which increased Dr. Cummings’s base salary to $473,616 and Dr. Tucker’s base salary to $448,797, in each case effective March 1,</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2024. In June 2024, based on the recommendation of Mr. Lo and applicable market factors, the board of directors approved an increase in the annual base salary for Dr. Cummings from $473,616 to $503,000, retroactive to June 1, 2024.</w:t>
      </w:r>
    </w:p>
    <w:p>
      <w:pPr>
        <w:spacing w:after="0" w:line="1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about the 2024 base salaries for each of our named executive officers, please refer to the “Salary” column of the 2024 Summary Compensation Table on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STI program is designed to motivate our named executive officers to achieve annual business plan objectives and individual goals.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year the Compensation Committee establishes a STI award opportunity for our named executive officers. As noted above, Mr. Floroiu resigned as Chief Executive Officer on January 15, 2024, and therefore he did not participate in the 2024 STI program. Dr. Michael J. Finney agreed to serve as Interim Chief Executive Officer upon Mr. Floroiu’s resignation, and he participated in the 2024 STI program with an award opportunity equal to 50% of his annual base salary (pro-rated for 2024). When Mr. Lo was appointed to serve as Chief Executive Officer, effective March 18, 2024, he commenced participation in the 2024 STI program with an award opportunity equal to 50% of his annual base salary. The Compensation Committee did not make any changes to the STI award opportunities for Dr. Cummings and Dr. Tucker, which remained at 40% of their annual base salary.</w:t>
      </w:r>
    </w:p>
    <w:p>
      <w:pPr>
        <w:spacing w:after="0" w:line="18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2024 STI payout levels were determined by the Compensation Committee based on an overall assessment of corporate performance and individual contributions. The Compensation Committee approved certain corporate goals and objectives at the beginning of the year that generally focused on deliverables with respect to five primary areas: the norovirus program, COVID-19, other programs (including Influenza and HPV Therapeutic programs), manufacturing, and finance. Based on its assessment of overall corporate performance and the individual contributions of each participating executive, and its desire to retain a management team that is essential to our continued success, the Compensation Committee recommended, and the board of directors approved, an overall achievement level of 92% for the 2024 STI program, which funded a bonus pool that was allocated among the named executive officers based on recommendations of the Chief Executive Officer (other than with respect to himself) and final approval by the board of directors.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amount of the 2024 STI award payable to each named executive officer is set forth in the “Non-Equity Incentive Plan Compensation” column of the 2024 Summary Compensation Table of this proxy statement at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a competitive LTI program is an important component of total direct compensation because it: (i) enhances the retentive value of our compensation; (ii) rewards executives for increasing our stock price and developing long-term value; and (iii) provides executives with an opportunity for stock ownership to align their interests with those of our stockholders.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noted above, Mr. Floroiu resigned as Chief Executive Officer on January 15, 2024, and therefore he did not participate in the 2025 LTI program. Dr. Michael J. Finney agreed to serve as Interim Chief Executive Officer upon Mr. Floroiu’s resignation, but he did not participate in the 2024 LTI program given his short tenure in that role. When Mr. Lo was appointed to serve as Chief Executive Officer, effective March 18, 2024, he received a grant under the Vaxart, Inc. 2024 Inducement Award Plan consisting of a stock option to purchase 1,000,000 shares that vests one-fourth on the first anniversary of his start date and thereafter in equal monthly installments over the next three years, and a restricted stock unit award covering 250,000 shares that vests in four equal annual installments.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annual performance review process in 2024, the Compensation Committee, with the help of Aon, its independent compensation consultant, conducted a review of the LTI award opportunities for our officers. The Compensation Committee recommended, and the board of directors approved, a grant to each of Dr. Cummings and Dr. Tucker, consisting of a stock option to purchase 410,000 shares that vests one-fourth on the first anniversary of the vesting commencement date and thereafter in equal monthly installments over the next three years, and a restricted stock unit award covering 90,000 shares that vests in four equal annual installments.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Trial Launch Bonus Program</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2024, the board of directors, upon the recommendation of the Compensation Committee, approved a $1,000,000 bonus pool under a Trial Launch Bonus Program, that would be allocated and payable to each employee selected by the Chief Executive Officer (including Dr. Cummings and Dr. Tucker). Under this program, each of Dr. Cummings and Dr. Tucker were eligible to a pro-rata share of the bonus pool equal to 30% of his annual salary as in effect as of December 31, 2023, if he remained employed through the date that the first 1,000 volunteers in the Phase 2 trial had been dosed. To date, there have been no payouts related to the Trial Launch Bonus Program.</w:t>
      </w:r>
    </w:p>
    <w:p>
      <w:pPr>
        <w:sectPr>
          <w:pgSz w:w="11900" w:h="16838" w:orient="portrait"/>
          <w:cols w:equalWidth="0" w:num="1">
            <w:col w:w="11220"/>
          </w:cols>
          <w:pgMar w:left="320" w:top="121" w:right="359" w:bottom="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Benefit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each of the named executive officers, other than Dr. Michael J. Finney, participated in the Severance Benefit Plan (the “</w:t>
      </w:r>
      <w:r>
        <w:rPr>
          <w:rFonts w:ascii="Times New Roman" w:cs="Times New Roman" w:eastAsia="Times New Roman" w:hAnsi="Times New Roman"/>
          <w:sz w:val="18"/>
          <w:szCs w:val="18"/>
          <w:i w:val="1"/>
          <w:iCs w:val="1"/>
          <w:color w:val="auto"/>
        </w:rPr>
        <w:t>Severance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Severance Plan, if a participating named executive officer were terminated other than for cause, death or disability, or resigned for good reason, other than in connection with a change in control, he would be entitled to receive (i) continued payment of base salary for six months (twelve months for Mr. Lo), and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 participating named executive officer were terminated other than for cause, death or disability, or resigned for good reason, either during the three months before or in the twelve months after a change in control, then he would be entitled to receive (in lieu of the benefits described above): (i) lump sum cash severance equal twelve months of base salary,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 (iii) full vesting of any unvested time-based equity awards, and (iv) a pro-rated target annual bonus for the year of termination.</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exchange for the severance benefits, the participating named executive officers must agree to comply with the Company’s standard employee invention assignment and confidentiality agreement, return all company property, and sign a release of claims in favor of the Company.</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purposes of the Severance Plan, the term “cause” generally means (i) engaging in willful or gross misconduct or willful or gross neglect; (ii) the commission of a felony or a crime involving any of the following: moral turpitude, dishonesty, breach of trust or unethical business conduct; or the commission of any crime involving the Company or any of its subsidiaries; (iii) fraud, misappropriation or embezzlement; or (iv) the abuse of illegal drugs or other controlled substances or habitual intoxication while providing services for the Company or any of its affiliates.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term “good reason” generally means the occurrence of any of the following events without the participant’s consent; (i) a material diminution in base salary or target bonus; (ii) a material diminution in authority, duties, or responsibilities; or (iii) a relocation of the principal place of employment or service to a location that increases his or her one-way commute distance by more than 35 miles, subject to applicable notice and cure provisions.</w:t>
      </w:r>
    </w:p>
    <w:p>
      <w:pPr>
        <w:spacing w:after="0" w:line="135"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The Severance Plan does not provide a tax gross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for named executive officers or any other employees in the event they are subject to golden parachute excise taxes on severance or other payments received in connection with a change in control. The Severance Plan promotes retention incentives for our executives by establishing severance protections for participants that are consistent with market levels, while eliminating the need to negotiate individual severance agreements in connection with an executive’s termination or at the time of hire. The enhanced benefits available upon a change in control increase our retention incentives by reducing the personal uncertainty that arises from the possibility of a future business combination and promoting objectivity in the evaluation of transactions that are in the best interests of our stockholders.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Lo</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Mr. Lo entered into a letter agreement with the Company, dated as of February 21, 2024. The letter agreement provided for an initial base salary equal to $600,000, a target STI award opportunity equal to 50% of his annual base salary and a grant under the Vaxart, Inc. 2024 Inducement Award Plan consisting of a stock option to purchase 1,000,000 shares that vests one-fourth on the first anniversary of his start date and thereafter in equal monthly installments over the next three years, and a restricted stock unit award covering 250,000 shares that vests in four equal annual installments. The letter agreement also provides that Mr. Lo will participate in the Severance Plan, with a severance multiple equal to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Michael J. Finney</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Interim Chief Executive Officer, Dr. Michael J. Finney entered into a letter agreement with the Company, dated as of January 16, 2024. The letter agreement provided for a base salary equal to $595,000, and a target STI award opportunity equal to 50% of his annual base salary (pro-rated for the 2024 fiscal year). Given his short tenure in the potion, Dr. Michael J. Finney did not participate in the LTI program or the Severance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Floroiu</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of the Company, Mr. Floroiu entered into a letter agreement with the Company, dated as of June 14, 2020. The letter agreement provided for an initial base salary of $400,000 per year, an initial “target” bonus opportunity of 50% of his annual base salary and coverage under the Severance Plan, with his “Non-CiC Severance Period”, as defined in the Severance Plan, set at three months and his “CiC Severance Period”, as defined in the Severance Plan, set at six months. On May 2, 2023, the board of directors approved an amendment to Mr. Floroiu’s offer letter to increase his “Non-CiC Severance Period” to 6 months, and to increase his “CiC Severance Period” to 12 months.</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Under his letter agreement, Mr. Floroiu received a stock option on June 15, 2020 to purchase 845,280 shares of the Company’s common stock at a strike price equal to the closing price of the Company’s common stock on the grant date, which vests as follows: 25% on the first anniversary of the grant date and 75% in equal monthly installments over the three-year period commencing on such first anniversary, with accelerated vesting with respect to 50% of any then-unvested option shares upon the Company’s execution of a strategic agreement, as determined by the board, and with accelerated vesting in full in the event of a “change in control”. On that same date, Mr. Floroiu received a stock option to purchase 900,000 shares of the Company’s common stock at a strike price equal to the closing price of the Company’s common stock on the grant date, which vested as follows: (i) one-third if the Company achieves a per share closing price equal to $5.00 or more during any 10-consecutive trading days after the grant date but before November 30, 2020 or such later date as determined by the board (the “</w:t>
      </w:r>
      <w:r>
        <w:rPr>
          <w:rFonts w:ascii="Times New Roman" w:cs="Times New Roman" w:eastAsia="Times New Roman" w:hAnsi="Times New Roman"/>
          <w:sz w:val="17"/>
          <w:szCs w:val="17"/>
          <w:i w:val="1"/>
          <w:iCs w:val="1"/>
          <w:color w:val="auto"/>
        </w:rPr>
        <w:t>Reference Date</w:t>
      </w:r>
      <w:r>
        <w:rPr>
          <w:rFonts w:ascii="Times New Roman" w:cs="Times New Roman" w:eastAsia="Times New Roman" w:hAnsi="Times New Roman"/>
          <w:sz w:val="17"/>
          <w:szCs w:val="17"/>
          <w:color w:val="auto"/>
        </w:rPr>
        <w:t>”), (ii) one-third if the Company achieves a per share closing price equal to $7.50 or more during any 10-consecutive trading days after the grant date but before the Reference Date, and (iii) one-third if the Company achieves a per share closing price equal to $10.00 or more during any 10-consecutive trading days after the grant date but before the Reference Date, in each case subject to continued employment. The performance-based stock option has already vested in full. Mr. Floroiu will not receive any non-employee director cash retainers or other compensation under the Company’s director compensation program for his services as a director while he is serving as Chief Executive Officer. In addition, the letter</w:t>
      </w:r>
    </w:p>
    <w:p>
      <w:pPr>
        <w:sectPr>
          <w:pgSz w:w="11900" w:h="16838" w:orient="portrait"/>
          <w:cols w:equalWidth="0" w:num="1">
            <w:col w:w="11220"/>
          </w:cols>
          <w:pgMar w:left="320" w:top="121" w:right="359" w:bottom="0" w:gutter="0" w:footer="0" w:header="0"/>
        </w:sectPr>
      </w:pPr>
    </w:p>
    <w:bookmarkStart w:id="123" w:name="page124"/>
    <w:bookmarkEnd w:id="123"/>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agreement provides that during the period of his employment with the Company and for a period of two years thereafter, Mr. Floroiu will not compete anywhere in the world outside the State of California with the Company to develop, sell, market, or offer to sell products that are competitive with any products being developed or sold by the Company.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January 31, 2024, the Company entered into a Separation Agreement with Mr. Floroiu in connection with his termination without cause. Pursuant to the separation agreement, the Company agreed to provide Mr. Floroiu with the following payments and benefits: (i) continued base salary for 12 months, (ii) subsidized health insurance premiums for 12 months, (iii) the 2023 bonus, if any, to which he would have been entitled to receive had he remained employed by the Company through the payout date, (iv) reimbursement of up to $5,000 in attorney fees incurred in negotiating the agreement, (v) accelerated vesting of his equity awards that would have vested through September 30, 2024, and (vi) up to two years to exercise his vested stock options after termination of employment. In exchange for these benefits, Mr. Floroiu signed a release of claims in favor of the Company and agreed to certain confidentiality, non-competition, non-solicitation of personnel and customers, non-disparagement and cooperation covenants. The separation benefits were conditioned upon Mr. Floroiu’s non-revocation of the release of claims and his compliance with the restrictive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Cummings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Senior Vice President and Chief Medical Officer of the Company, Dr. Cummings entered into a letter agreement with the Company, dated as of August 16, 2021. The letter agreement provides for an initial base salary of $400,000 per year, an initial “target” bonus opportunity of 40% of his annual base salary and an initial grant of a stock option covering 300,000 shares (effective when he commenced the consulting services described below). In addition, the letter agreement provided that, prior to his start date, Dr. Cummings would provide certain consulting services to the Company at the direction of the Chief Executive Officer with respect to clinical and regulatory matters (including clinical trial design and regulatory strategies both in the U.S. and abroad), interactions with pan-governmental organizations such as WHO and CEPI, and business development activities. Dr. Cummings received a consulting fee at the rate of $100 per hour for these services and entered into a standard consulting agreement with the Company, which terminated on September 26, 2021, the day prior to the date he commenced employment.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Tucker</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his appointment as Vice President, Research and Director of Immunology, Dr. Tucker entered into a letter agreement with the Company, dated as of May 20, 2006. The letter agreement provided that, if Dr. Tucker’s employment were terminated without “cause”, or he voluntarily resigned for “good reason”, then one-half of his then outstanding and unvested stock options shall vest and become immediately exercisable, except that if there are fewer than one-half of the option shares unvested at that time, then all remaining unvested option shares would vest and become immediately exercisable. During the term of his employment, Dr. Tucker agreed that he would not render any commercial or professional services of any nature to any person or organization, whether or not for compensation, without the prior written consent of the board of directors. He also agreed not to directly or indirectly engage or participate in any business that is competitive with the Company's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our named executive officers, with an opportunity to save for retirement on a tax-advantaged basis. Eligible employees may defer eligible compensation up to certain tax code limits, which are updated annually. Employees are immediately and fully vested in their own contributions. We make matching contributions to participants in the 401(k) plan annually in arrears in an amount equal to the employee’s deferral up to a maximum of 3% of the employee’s annual eligible earnings, which are immediately and fully vested. As a tax-qualified retirement plan, contributions to the 401(k) plan are deductible by us when made, and contributions and earnings on those amounts are not taxable to the employees until withdrawn or distributed from the 401(k) plan. The named executive officers did not participate in, or otherwise receive any benefits under any pension plan or nonqualified deferred compensation plan.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for services rendered that was earned by our named executive officers during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90"/>
              <w:spacing w:after="0" w:line="239" w:lineRule="exact"/>
              <w:rPr>
                <w:sz w:val="20"/>
                <w:szCs w:val="20"/>
                <w:color w:val="auto"/>
              </w:rPr>
            </w:pPr>
            <w:r>
              <w:rPr>
                <w:rFonts w:ascii="Times New Roman" w:cs="Times New Roman" w:eastAsia="Times New Roman" w:hAnsi="Times New Roman"/>
                <w:sz w:val="17"/>
                <w:szCs w:val="17"/>
                <w:b w:val="1"/>
                <w:bCs w:val="1"/>
                <w:color w:val="auto"/>
                <w:w w:val="97"/>
              </w:rPr>
              <w:t>Awards</w:t>
            </w:r>
            <w:r>
              <w:rPr>
                <w:rFonts w:ascii="Times New Roman" w:cs="Times New Roman" w:eastAsia="Times New Roman" w:hAnsi="Times New Roman"/>
                <w:sz w:val="27"/>
                <w:szCs w:val="27"/>
                <w:b w:val="1"/>
                <w:bCs w:val="1"/>
                <w:color w:val="auto"/>
                <w:w w:val="97"/>
                <w:vertAlign w:val="superscript"/>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line="239" w:lineRule="exact"/>
              <w:rPr>
                <w:sz w:val="20"/>
                <w:szCs w:val="20"/>
                <w:color w:val="auto"/>
              </w:rPr>
            </w:pPr>
            <w:r>
              <w:rPr>
                <w:rFonts w:ascii="Times New Roman" w:cs="Times New Roman" w:eastAsia="Times New Roman" w:hAnsi="Times New Roman"/>
                <w:sz w:val="17"/>
                <w:szCs w:val="17"/>
                <w:b w:val="1"/>
                <w:bCs w:val="1"/>
                <w:color w:val="auto"/>
                <w:w w:val="97"/>
              </w:rPr>
              <w:t>Awards</w:t>
            </w:r>
            <w:r>
              <w:rPr>
                <w:rFonts w:ascii="Times New Roman" w:cs="Times New Roman" w:eastAsia="Times New Roman" w:hAnsi="Times New Roman"/>
                <w:sz w:val="27"/>
                <w:szCs w:val="27"/>
                <w:b w:val="1"/>
                <w:bCs w:val="1"/>
                <w:color w:val="auto"/>
                <w:w w:val="97"/>
                <w:vertAlign w:val="superscript"/>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(3)</w:t>
            </w:r>
          </w:p>
        </w:tc>
        <w:tc>
          <w:tcPr>
            <w:tcW w:w="1400" w:type="dxa"/>
            <w:vAlign w:val="bottom"/>
            <w:gridSpan w:val="3"/>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Steven Lo</w:t>
            </w:r>
            <w:r>
              <w:rPr>
                <w:rFonts w:ascii="Times New Roman" w:cs="Times New Roman" w:eastAsia="Times New Roman" w:hAnsi="Times New Roman"/>
                <w:sz w:val="24"/>
                <w:szCs w:val="24"/>
                <w:color w:val="auto"/>
                <w:vertAlign w:val="superscript"/>
              </w:rPr>
              <w:t>(5)</w:t>
            </w:r>
          </w:p>
        </w:tc>
        <w:tc>
          <w:tcPr>
            <w:tcW w:w="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473,810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1,044,370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2,085,768</w:t>
            </w:r>
          </w:p>
        </w:tc>
      </w:tr>
      <w:tr>
        <w:trPr>
          <w:trHeight w:val="196"/>
        </w:trPr>
        <w:tc>
          <w:tcPr>
            <w:tcW w:w="23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Michael J. Finney, Ph.D.</w:t>
            </w:r>
            <w:r>
              <w:rPr>
                <w:rFonts w:ascii="Times New Roman" w:cs="Times New Roman" w:eastAsia="Times New Roman" w:hAnsi="Times New Roman"/>
                <w:sz w:val="25"/>
                <w:szCs w:val="25"/>
                <w:color w:val="auto"/>
                <w:vertAlign w:val="superscript"/>
              </w:rPr>
              <w:t>(6)</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110,521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66,069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46,364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70,124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305,390</w:t>
            </w:r>
          </w:p>
        </w:tc>
      </w:tr>
      <w:tr>
        <w:trPr>
          <w:trHeight w:val="196"/>
        </w:trPr>
        <w:tc>
          <w:tcPr>
            <w:tcW w:w="2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Interim Chief Executive</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Andrei Floroiu, M.B.A.</w:t>
            </w:r>
            <w:r>
              <w:rPr>
                <w:rFonts w:ascii="Times New Roman" w:cs="Times New Roman" w:eastAsia="Times New Roman" w:hAnsi="Times New Roman"/>
                <w:sz w:val="25"/>
                <w:szCs w:val="25"/>
                <w:color w:val="auto"/>
                <w:vertAlign w:val="superscript"/>
              </w:rPr>
              <w:t>(5)</w:t>
            </w:r>
          </w:p>
        </w:tc>
        <w:tc>
          <w:tcPr>
            <w:tcW w:w="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1,027,902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745,351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1,931,356</w:t>
            </w:r>
          </w:p>
        </w:tc>
      </w:tr>
      <w:tr>
        <w:trPr>
          <w:trHeight w:val="196"/>
        </w:trPr>
        <w:tc>
          <w:tcPr>
            <w:tcW w:w="238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President and Chief</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568,333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286,833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801,895</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198,917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10,866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1,866,844</w:t>
            </w:r>
          </w:p>
        </w:tc>
      </w:tr>
      <w:tr>
        <w:trPr>
          <w:trHeight w:val="216"/>
        </w:trPr>
        <w:tc>
          <w:tcPr>
            <w:tcW w:w="2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Cummings, M.D.</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488,087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104,400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428,192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1,212,535</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454,667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428,840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1,174,934</w:t>
            </w:r>
          </w:p>
        </w:tc>
      </w:tr>
      <w:tr>
        <w:trPr>
          <w:trHeight w:val="216"/>
        </w:trPr>
        <w:tc>
          <w:tcPr>
            <w:tcW w:w="2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74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446,267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428,192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11,872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1,155,031</w:t>
            </w: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428,267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428,840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121,414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1,137,485</w:t>
            </w:r>
          </w:p>
        </w:tc>
      </w:tr>
    </w:tbl>
    <w:p>
      <w:pPr>
        <w:spacing w:after="0" w:line="173" w:lineRule="exact"/>
        <w:rPr>
          <w:sz w:val="20"/>
          <w:szCs w:val="20"/>
          <w:color w:val="auto"/>
        </w:rPr>
      </w:pPr>
    </w:p>
    <w:p>
      <w:pPr>
        <w:ind w:left="180" w:right="180" w:hanging="172"/>
        <w:spacing w:after="0" w:line="233" w:lineRule="auto"/>
        <w:tabs>
          <w:tab w:leader="none" w:pos="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the grant date fair value of time-based restricted stock unit awards computed in accordance with the Financial Accounting Standards Board, or FASB, Accounting Standards Codification, or ASC, Topic 718. See </w:t>
      </w:r>
      <w:r>
        <w:rPr>
          <w:rFonts w:ascii="Times New Roman" w:cs="Times New Roman" w:eastAsia="Times New Roman" w:hAnsi="Times New Roman"/>
          <w:sz w:val="14"/>
          <w:szCs w:val="14"/>
          <w:u w:val="single" w:color="auto"/>
          <w:color w:val="0000EE"/>
        </w:rPr>
        <w:t>Note 10</w:t>
      </w:r>
      <w:r>
        <w:rPr>
          <w:rFonts w:ascii="Times New Roman" w:cs="Times New Roman" w:eastAsia="Times New Roman" w:hAnsi="Times New Roman"/>
          <w:sz w:val="14"/>
          <w:szCs w:val="14"/>
          <w:color w:val="auto"/>
        </w:rPr>
        <w:t xml:space="preserve"> to the consolidated financial statements included in this Annual Report for a discussion of the relevant assumptions used in calculating value pursuant to FASB ASC Topic 718. As required by SEC rules, the amounts shown exclude the impact of estimated forfeitures related to service-based vesting conditions. For Mr. Floroiu, the amounts also include the incremental fair value of restricted stock unit awards, calculated in accordance with FASB ASC Topic 718 as a result of the accelerated vesting of those awards in connection with his termination.</w:t>
      </w:r>
    </w:p>
    <w:p>
      <w:pPr>
        <w:spacing w:after="0" w:line="109" w:lineRule="exact"/>
        <w:rPr>
          <w:rFonts w:ascii="Times New Roman" w:cs="Times New Roman" w:eastAsia="Times New Roman" w:hAnsi="Times New Roman"/>
          <w:sz w:val="14"/>
          <w:szCs w:val="14"/>
          <w:color w:val="auto"/>
        </w:rPr>
      </w:pPr>
    </w:p>
    <w:p>
      <w:pPr>
        <w:ind w:left="180" w:right="100" w:hanging="172"/>
        <w:spacing w:after="0" w:line="233" w:lineRule="auto"/>
        <w:tabs>
          <w:tab w:leader="none" w:pos="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the grant date fair value of stock option awards for the applicable year computed in accordance with ASC Topic 718. See </w:t>
      </w:r>
      <w:r>
        <w:rPr>
          <w:rFonts w:ascii="Times New Roman" w:cs="Times New Roman" w:eastAsia="Times New Roman" w:hAnsi="Times New Roman"/>
          <w:sz w:val="14"/>
          <w:szCs w:val="14"/>
          <w:u w:val="single" w:color="auto"/>
          <w:color w:val="0000EE"/>
        </w:rPr>
        <w:t>Note 10</w:t>
      </w:r>
      <w:r>
        <w:rPr>
          <w:rFonts w:ascii="Times New Roman" w:cs="Times New Roman" w:eastAsia="Times New Roman" w:hAnsi="Times New Roman"/>
          <w:sz w:val="14"/>
          <w:szCs w:val="14"/>
          <w:color w:val="auto"/>
        </w:rPr>
        <w:t xml:space="preserve"> to the consolidated financial statements included in this Annual Report for a discussion of the relevant assumptions used in calculating the grant date fair value pursuant to FASB ASC Topic 718.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For Mr. Floroiu, the amounts also include the incremental fair value of restricted stock unit awards, calculated in accordance with FASB ASC Topic 718 as a result of the accelerated vesting and extended exercisable period of those awards in connection with his termination.</w:t>
      </w:r>
    </w:p>
    <w:p>
      <w:pPr>
        <w:spacing w:after="0" w:line="109"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bonuses awarded to the named executive officers for the applicable year under the Short-Term Incentive Program.</w:t>
      </w:r>
    </w:p>
    <w:p>
      <w:pPr>
        <w:spacing w:after="0" w:line="136" w:lineRule="exact"/>
        <w:rPr>
          <w:rFonts w:ascii="Times New Roman" w:cs="Times New Roman" w:eastAsia="Times New Roman" w:hAnsi="Times New Roman"/>
          <w:sz w:val="14"/>
          <w:szCs w:val="14"/>
          <w:color w:val="auto"/>
        </w:rPr>
      </w:pPr>
    </w:p>
    <w:p>
      <w:pPr>
        <w:ind w:left="180" w:right="60" w:hanging="172"/>
        <w:spacing w:after="0" w:line="241" w:lineRule="auto"/>
        <w:tabs>
          <w:tab w:leader="none" w:pos="1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employer match under the Company’s 401(k) plan, premiums paid by the Company under the group-term life insurance program, and an employer match under the Health Savings Account as applicable. For Mr. Floroiu, the amounts also include the cash severance benefits that he received in connection with his termination, including (i) continued base salary for 12 months and (ii) subsidized health insurance premiums for 12 months. For Dr. Michael J. Finney, the amounts also include compensation received as a non-employee director during 2024.</w:t>
      </w:r>
    </w:p>
    <w:p>
      <w:pPr>
        <w:spacing w:after="0" w:line="109" w:lineRule="exact"/>
        <w:rPr>
          <w:sz w:val="20"/>
          <w:szCs w:val="20"/>
          <w:color w:val="auto"/>
        </w:rPr>
      </w:pPr>
    </w:p>
    <w:p>
      <w:pPr>
        <w:ind w:left="180" w:right="300" w:hanging="174"/>
        <w:spacing w:after="0" w:line="261" w:lineRule="auto"/>
        <w:rPr>
          <w:sz w:val="20"/>
          <w:szCs w:val="20"/>
          <w:color w:val="auto"/>
        </w:rPr>
      </w:pPr>
      <w:r>
        <w:rPr>
          <w:rFonts w:ascii="Times New Roman" w:cs="Times New Roman" w:eastAsia="Times New Roman" w:hAnsi="Times New Roman"/>
          <w:sz w:val="14"/>
          <w:szCs w:val="14"/>
          <w:color w:val="auto"/>
        </w:rPr>
        <w:t>(5)On January 15, 2024, Mr. Floroiu resigned as President and Chief Executive Officer of the Company. On March 18, 2024, Mr. Lo was appointed to serve as President and Chief Executive Officer.</w:t>
      </w:r>
    </w:p>
    <w:p>
      <w:pPr>
        <w:spacing w:after="0" w:line="95" w:lineRule="exact"/>
        <w:rPr>
          <w:sz w:val="20"/>
          <w:szCs w:val="20"/>
          <w:color w:val="auto"/>
        </w:rPr>
      </w:pPr>
    </w:p>
    <w:p>
      <w:pPr>
        <w:ind w:left="180" w:hanging="172"/>
        <w:spacing w:after="0" w:line="231" w:lineRule="auto"/>
        <w:tabs>
          <w:tab w:leader="none" w:pos="1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Michael J. Finney, who serves on the board of directors, also served as Interim Chief Executive Officer from January 16, 2024, until Mr. Lo’s appointment as President and Chief Executive Officer on March 18, 2024. The amount reported in the “Salary” column reflects the base salary that Dr. Michael J. Finney earned in his role as Interim Chief Executive Officer from January 16, 2024, until March 18, 2024, and the amount reported in the “Non-Equity Incentive Plan Compensation” column reflects the pro-rated bonus that Dr. Michael J. Finney received under the 2024 annual bonus program. The amount reported in the “Stock Awards” and “Option Awards” columns reflect equity retainers that Dr. Michael J. Finney received, and the amounts reported in the “All Other Compensation” column reflect cash retainers that Dr. Michael J. Finney received, in each case for his services as a non-employee director in 2024 (i.e., when he was not serving as Interim Chief Executive Officer) under the Company’s Non-Employee Director Compensation Program.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2024</w:t>
      </w:r>
    </w:p>
    <w:p>
      <w:pPr>
        <w:spacing w:after="0" w:line="229"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our named executive officers, information regarding outstanding stock options and RSUs held as of December 31, 2024.</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Options Awards</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1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of shares or</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of stock that</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units of stock</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that have not</w:t>
            </w: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4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vested(1)</w:t>
            </w:r>
          </w:p>
        </w:tc>
      </w:tr>
      <w:tr>
        <w:trPr>
          <w:trHeight w:val="20"/>
        </w:trPr>
        <w:tc>
          <w:tcPr>
            <w:tcW w:w="1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Lo</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line="210" w:lineRule="exact"/>
              <w:rPr>
                <w:sz w:val="20"/>
                <w:szCs w:val="20"/>
                <w:color w:val="auto"/>
              </w:rPr>
            </w:pPr>
            <w:r>
              <w:rPr>
                <w:rFonts w:ascii="Times New Roman" w:cs="Times New Roman" w:eastAsia="Times New Roman" w:hAnsi="Times New Roman"/>
                <w:sz w:val="15"/>
                <w:szCs w:val="15"/>
                <w:color w:val="auto"/>
              </w:rPr>
              <w:t>1,000,000</w:t>
            </w:r>
            <w:r>
              <w:rPr>
                <w:rFonts w:ascii="Times New Roman" w:cs="Times New Roman" w:eastAsia="Times New Roman" w:hAnsi="Times New Roman"/>
                <w:sz w:val="24"/>
                <w:szCs w:val="24"/>
                <w:color w:val="auto"/>
                <w:vertAlign w:val="superscript"/>
              </w:rPr>
              <w:t>(2)</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3/17/2034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250,000</w:t>
            </w:r>
            <w:r>
              <w:rPr>
                <w:rFonts w:ascii="Times New Roman" w:cs="Times New Roman" w:eastAsia="Times New Roman" w:hAnsi="Times New Roman"/>
                <w:sz w:val="25"/>
                <w:szCs w:val="25"/>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165,000</w:t>
            </w:r>
          </w:p>
        </w:tc>
      </w:tr>
      <w:tr>
        <w:trPr>
          <w:trHeight w:val="216"/>
        </w:trPr>
        <w:tc>
          <w:tcPr>
            <w:tcW w:w="30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Finney, Ph.D. 6/8/2020</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65,700</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6/7/2030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6/16/2021</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15,097</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6/15/2031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8/4/2022</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44,224</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8/3/2032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6/26/2023</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44,224</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6/25/2033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6/11/2024</w:t>
            </w:r>
          </w:p>
        </w:tc>
        <w:tc>
          <w:tcPr>
            <w:tcW w:w="10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95,400</w:t>
            </w:r>
            <w:r>
              <w:rPr>
                <w:rFonts w:ascii="Times New Roman" w:cs="Times New Roman" w:eastAsia="Times New Roman" w:hAnsi="Times New Roman"/>
                <w:sz w:val="25"/>
                <w:szCs w:val="25"/>
                <w:color w:val="auto"/>
                <w:vertAlign w:val="superscript"/>
              </w:rPr>
              <w:t>(4)</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6/10/2034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6/12/2024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16,000</w:t>
            </w:r>
            <w:r>
              <w:rPr>
                <w:rFonts w:ascii="Times New Roman" w:cs="Times New Roman" w:eastAsia="Times New Roman" w:hAnsi="Times New Roman"/>
                <w:sz w:val="25"/>
                <w:szCs w:val="25"/>
                <w:color w:val="auto"/>
                <w:vertAlign w:val="superscript"/>
              </w:rPr>
              <w:t>(4)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10,560</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Andrei Floroiu, M.B.A.</w:t>
            </w:r>
          </w:p>
        </w:tc>
        <w:tc>
          <w:tcPr>
            <w:tcW w:w="12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6/8/2020</w:t>
            </w:r>
          </w:p>
        </w:tc>
        <w:tc>
          <w:tcPr>
            <w:tcW w:w="1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54,720</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6/15/2020</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900,000</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6/15/2020</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845,280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6/16/2021</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218,750</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3/28/2022</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343,750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296,875</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400,000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Cummings, M.D. 8/16/2021</w:t>
            </w:r>
          </w:p>
        </w:tc>
        <w:tc>
          <w:tcPr>
            <w:tcW w:w="1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gridSpan w:val="3"/>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5"/>
                <w:szCs w:val="25"/>
                <w:color w:val="auto"/>
                <w:vertAlign w:val="superscript"/>
              </w:rPr>
              <w:t>(2)</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8/15/2031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3/28/2022</w:t>
            </w:r>
          </w:p>
        </w:tc>
        <w:tc>
          <w:tcPr>
            <w:tcW w:w="1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180,469</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82,031</w:t>
            </w:r>
            <w:r>
              <w:rPr>
                <w:rFonts w:ascii="Times New Roman" w:cs="Times New Roman" w:eastAsia="Times New Roman" w:hAnsi="Times New Roman"/>
                <w:sz w:val="25"/>
                <w:szCs w:val="25"/>
                <w:color w:val="auto"/>
                <w:vertAlign w:val="superscript"/>
              </w:rPr>
              <w:t>(2)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3/27/2032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21,874</w:t>
            </w:r>
            <w:r>
              <w:rPr>
                <w:rFonts w:ascii="Times New Roman" w:cs="Times New Roman" w:eastAsia="Times New Roman" w:hAnsi="Times New Roman"/>
                <w:sz w:val="25"/>
                <w:szCs w:val="25"/>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14,437</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187,917</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222,083</w:t>
            </w:r>
            <w:r>
              <w:rPr>
                <w:rFonts w:ascii="Times New Roman" w:cs="Times New Roman" w:eastAsia="Times New Roman" w:hAnsi="Times New Roman"/>
                <w:sz w:val="25"/>
                <w:szCs w:val="25"/>
                <w:color w:val="auto"/>
                <w:vertAlign w:val="superscript"/>
              </w:rPr>
              <w:t>(2)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3/16/2033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205,000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3/16/2033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3/17/2023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67,500</w:t>
            </w:r>
            <w:r>
              <w:rPr>
                <w:rFonts w:ascii="Times New Roman" w:cs="Times New Roman" w:eastAsia="Times New Roman" w:hAnsi="Times New Roman"/>
                <w:sz w:val="25"/>
                <w:szCs w:val="25"/>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44,550</w:t>
            </w: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410,000</w:t>
            </w:r>
            <w:r>
              <w:rPr>
                <w:rFonts w:ascii="Times New Roman" w:cs="Times New Roman" w:eastAsia="Times New Roman" w:hAnsi="Times New Roman"/>
                <w:sz w:val="25"/>
                <w:szCs w:val="25"/>
                <w:color w:val="auto"/>
                <w:vertAlign w:val="superscript"/>
              </w:rPr>
              <w:t>(2)</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3/17/2034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90,000</w:t>
            </w:r>
            <w:r>
              <w:rPr>
                <w:rFonts w:ascii="Times New Roman" w:cs="Times New Roman" w:eastAsia="Times New Roman" w:hAnsi="Times New Roman"/>
                <w:sz w:val="25"/>
                <w:szCs w:val="25"/>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59,400</w:t>
            </w: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7/23/2015</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10,067</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7/22/2025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3/25/2016</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7,731</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12.98</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3/24/2026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6/14/2017</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9,060</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6/23/2027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2/13/2018</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14,000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5/24/2028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5/10/2019</w:t>
            </w:r>
          </w:p>
        </w:tc>
        <w:tc>
          <w:tcPr>
            <w:tcW w:w="14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6"/>
                <w:szCs w:val="16"/>
                <w:color w:val="auto"/>
              </w:rPr>
              <w:t>84,061</w:t>
            </w:r>
            <w:r>
              <w:rPr>
                <w:rFonts w:ascii="Times New Roman" w:cs="Times New Roman" w:eastAsia="Times New Roman" w:hAnsi="Times New Roman"/>
                <w:sz w:val="25"/>
                <w:szCs w:val="25"/>
                <w:color w:val="auto"/>
                <w:vertAlign w:val="superscript"/>
              </w:rPr>
              <w:t>(5)</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5/11/2029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3/24/2020</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360,000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3/23/2030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3/25/2021</w:t>
            </w:r>
          </w:p>
        </w:tc>
        <w:tc>
          <w:tcPr>
            <w:tcW w:w="1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93,750</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6,250</w:t>
            </w:r>
            <w:r>
              <w:rPr>
                <w:rFonts w:ascii="Times New Roman" w:cs="Times New Roman" w:eastAsia="Times New Roman" w:hAnsi="Times New Roman"/>
                <w:sz w:val="25"/>
                <w:szCs w:val="25"/>
                <w:color w:val="auto"/>
                <w:vertAlign w:val="superscript"/>
              </w:rPr>
              <w:t>(2)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3/24/2031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3/28/2022</w:t>
            </w:r>
          </w:p>
        </w:tc>
        <w:tc>
          <w:tcPr>
            <w:tcW w:w="1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180,469</w:t>
            </w:r>
          </w:p>
        </w:tc>
        <w:tc>
          <w:tcPr>
            <w:tcW w:w="1460" w:type="dxa"/>
            <w:vAlign w:val="bottom"/>
            <w:gridSpan w:val="3"/>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82,031</w:t>
            </w:r>
            <w:r>
              <w:rPr>
                <w:rFonts w:ascii="Times New Roman" w:cs="Times New Roman" w:eastAsia="Times New Roman" w:hAnsi="Times New Roman"/>
                <w:sz w:val="25"/>
                <w:szCs w:val="25"/>
                <w:color w:val="auto"/>
                <w:vertAlign w:val="superscript"/>
              </w:rPr>
              <w:t>(2)</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3/27/2032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3/28/2022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21,874</w:t>
            </w:r>
            <w:r>
              <w:rPr>
                <w:rFonts w:ascii="Times New Roman" w:cs="Times New Roman" w:eastAsia="Times New Roman" w:hAnsi="Times New Roman"/>
                <w:sz w:val="25"/>
                <w:szCs w:val="25"/>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14,437</w:t>
            </w: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205,000</w:t>
            </w:r>
            <w:r>
              <w:rPr>
                <w:rFonts w:ascii="Times New Roman" w:cs="Times New Roman" w:eastAsia="Times New Roman" w:hAnsi="Times New Roman"/>
                <w:sz w:val="25"/>
                <w:szCs w:val="25"/>
                <w:color w:val="auto"/>
                <w:vertAlign w:val="superscript"/>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3/16/2033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3/17/2023</w:t>
            </w:r>
          </w:p>
        </w:tc>
        <w:tc>
          <w:tcPr>
            <w:tcW w:w="1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187,917</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222,083</w:t>
            </w:r>
            <w:r>
              <w:rPr>
                <w:rFonts w:ascii="Times New Roman" w:cs="Times New Roman" w:eastAsia="Times New Roman" w:hAnsi="Times New Roman"/>
                <w:sz w:val="25"/>
                <w:szCs w:val="25"/>
                <w:color w:val="auto"/>
                <w:vertAlign w:val="superscript"/>
              </w:rPr>
              <w:t>(2)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3/16/2033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3/17/2023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67,500</w:t>
            </w:r>
            <w:r>
              <w:rPr>
                <w:rFonts w:ascii="Times New Roman" w:cs="Times New Roman" w:eastAsia="Times New Roman" w:hAnsi="Times New Roman"/>
                <w:sz w:val="25"/>
                <w:szCs w:val="25"/>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44,550</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80"/>
              <w:spacing w:after="0" w:line="216" w:lineRule="exact"/>
              <w:rPr>
                <w:sz w:val="20"/>
                <w:szCs w:val="20"/>
                <w:color w:val="auto"/>
              </w:rPr>
            </w:pPr>
            <w:r>
              <w:rPr>
                <w:rFonts w:ascii="Times New Roman" w:cs="Times New Roman" w:eastAsia="Times New Roman" w:hAnsi="Times New Roman"/>
                <w:sz w:val="16"/>
                <w:szCs w:val="16"/>
                <w:color w:val="auto"/>
              </w:rPr>
              <w:t>410,000</w:t>
            </w:r>
            <w:r>
              <w:rPr>
                <w:rFonts w:ascii="Times New Roman" w:cs="Times New Roman" w:eastAsia="Times New Roman" w:hAnsi="Times New Roman"/>
                <w:sz w:val="25"/>
                <w:szCs w:val="25"/>
                <w:color w:val="auto"/>
                <w:vertAlign w:val="superscript"/>
              </w:rPr>
              <w:t>(2)</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3/17/2034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3/18/2024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6"/>
                <w:szCs w:val="16"/>
                <w:color w:val="auto"/>
              </w:rPr>
              <w:t>90,000</w:t>
            </w:r>
            <w:r>
              <w:rPr>
                <w:rFonts w:ascii="Times New Roman" w:cs="Times New Roman" w:eastAsia="Times New Roman" w:hAnsi="Times New Roman"/>
                <w:sz w:val="25"/>
                <w:szCs w:val="25"/>
                <w:color w:val="auto"/>
                <w:vertAlign w:val="superscript"/>
              </w:rPr>
              <w:t>(3)</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59,400</w:t>
            </w:r>
          </w:p>
        </w:tc>
      </w:tr>
    </w:tbl>
    <w:p>
      <w:pPr>
        <w:spacing w:after="0" w:line="198" w:lineRule="exact"/>
        <w:rPr>
          <w:sz w:val="20"/>
          <w:szCs w:val="20"/>
          <w:color w:val="auto"/>
        </w:rPr>
      </w:pPr>
    </w:p>
    <w:p>
      <w:pPr>
        <w:ind w:left="400" w:right="420" w:hanging="372"/>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restricted stock units that have not vested was determined by multiplying the number of shares by $0.66, the closing price of our common stock on December 31, 2024.</w:t>
      </w:r>
    </w:p>
    <w:p>
      <w:pPr>
        <w:spacing w:after="0" w:line="161" w:lineRule="exact"/>
        <w:rPr>
          <w:rFonts w:ascii="Times New Roman" w:cs="Times New Roman" w:eastAsia="Times New Roman" w:hAnsi="Times New Roman"/>
          <w:sz w:val="18"/>
          <w:szCs w:val="18"/>
          <w:color w:val="auto"/>
        </w:rPr>
      </w:pPr>
    </w:p>
    <w:p>
      <w:pPr>
        <w:ind w:left="400" w:right="460" w:hanging="372"/>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vests as to 25% of the underlying shares on the first anniversary of the applicable vesting commencement date and in 36 equal monthly installments thereafter.</w:t>
      </w:r>
    </w:p>
    <w:p>
      <w:pPr>
        <w:spacing w:after="0" w:line="161" w:lineRule="exact"/>
        <w:rPr>
          <w:rFonts w:ascii="Times New Roman" w:cs="Times New Roman" w:eastAsia="Times New Roman" w:hAnsi="Times New Roman"/>
          <w:sz w:val="18"/>
          <w:szCs w:val="18"/>
          <w:color w:val="auto"/>
        </w:rPr>
      </w:pPr>
    </w:p>
    <w:p>
      <w:pPr>
        <w:ind w:left="400" w:right="1060" w:hanging="372"/>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remainder of an award that vest in four equal annual installments beginning on the first anniversary of the applicable vesting commencement date.</w:t>
      </w:r>
    </w:p>
    <w:p>
      <w:pPr>
        <w:spacing w:after="0" w:line="161" w:lineRule="exact"/>
        <w:rPr>
          <w:rFonts w:ascii="Times New Roman" w:cs="Times New Roman" w:eastAsia="Times New Roman" w:hAnsi="Times New Roman"/>
          <w:sz w:val="18"/>
          <w:szCs w:val="18"/>
          <w:color w:val="auto"/>
        </w:rPr>
      </w:pPr>
    </w:p>
    <w:p>
      <w:pPr>
        <w:ind w:left="400" w:right="80" w:hanging="372"/>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fully vests on the earlier of the date immediately preceding the date of the annual meeting of stockholders of the Company held in the year following the vesting commencement date and the first anniversary of the vesting commencement date.</w:t>
      </w:r>
    </w:p>
    <w:p>
      <w:pPr>
        <w:spacing w:after="0" w:line="161" w:lineRule="exact"/>
        <w:rPr>
          <w:rFonts w:ascii="Times New Roman" w:cs="Times New Roman" w:eastAsia="Times New Roman" w:hAnsi="Times New Roman"/>
          <w:sz w:val="18"/>
          <w:szCs w:val="18"/>
          <w:color w:val="auto"/>
        </w:rPr>
      </w:pPr>
    </w:p>
    <w:p>
      <w:pPr>
        <w:ind w:left="400" w:hanging="372"/>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these options are fully vested.</w:t>
      </w:r>
    </w:p>
    <w:p>
      <w:pPr>
        <w:spacing w:after="0" w:line="225" w:lineRule="exact"/>
        <w:rPr>
          <w:rFonts w:ascii="Times New Roman" w:cs="Times New Roman" w:eastAsia="Times New Roman" w:hAnsi="Times New Roman"/>
          <w:sz w:val="18"/>
          <w:szCs w:val="18"/>
          <w:color w:val="auto"/>
        </w:rPr>
      </w:pPr>
    </w:p>
    <w:p>
      <w:pPr>
        <w:ind w:left="400" w:right="360" w:hanging="372"/>
        <w:spacing w:after="0" w:line="282" w:lineRule="auto"/>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and options ceased to vest upon Mr. Floroiu’s resignation on January 15, 2024. Any unvested equity awards at such time were forfeited.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ectPr>
          <w:pgSz w:w="11900" w:h="16838" w:orient="portrait"/>
          <w:cols w:equalWidth="0" w:num="1">
            <w:col w:w="11260"/>
          </w:cols>
          <w:pgMar w:left="300" w:top="121" w:right="339" w:bottom="0" w:gutter="0" w:footer="0" w:header="0"/>
        </w:sectPr>
      </w:pPr>
    </w:p>
    <w:bookmarkStart w:id="126" w:name="page127"/>
    <w:bookmarkEnd w:id="126"/>
    <w:p>
      <w:pPr>
        <w:spacing w:after="0" w:line="261" w:lineRule="auto"/>
        <w:rPr>
          <w:sz w:val="20"/>
          <w:szCs w:val="20"/>
          <w:color w:val="auto"/>
        </w:rPr>
      </w:pPr>
      <w:r>
        <w:rPr>
          <w:rFonts w:ascii="Times New Roman" w:cs="Times New Roman" w:eastAsia="Times New Roman" w:hAnsi="Times New Roman"/>
          <w:sz w:val="18"/>
          <w:szCs w:val="18"/>
          <w:color w:val="auto"/>
        </w:rPr>
        <w:t>While we do not have a formal written policy in place with regard to the timing of awards of options in relation to the disclosure of material nonpublic information, our board of directors and the Compensation Committee do not seek to time equity grants to take advantage of information, either positive or negative, about our company that has not been publicly disclosed. Similarly, it is our practice not to time the release of material nonpublic information based on equity award grant dates or for the purpose of affecting the value of executive compensation.</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7" w:name="page128"/>
    <w:bookmarkEnd w:id="127"/>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During 2024, our non-employee directors were compensated in the following manner under our director compensation program.</w:t>
      </w:r>
    </w:p>
    <w:p>
      <w:pPr>
        <w:spacing w:after="0" w:line="225" w:lineRule="exact"/>
        <w:rPr>
          <w:sz w:val="20"/>
          <w:szCs w:val="20"/>
          <w:color w:val="auto"/>
        </w:rPr>
      </w:pPr>
    </w:p>
    <w:p>
      <w:pPr>
        <w:ind w:left="10" w:right="20"/>
        <w:spacing w:after="0" w:line="261" w:lineRule="auto"/>
        <w:rPr>
          <w:sz w:val="20"/>
          <w:szCs w:val="20"/>
          <w:color w:val="auto"/>
        </w:rPr>
      </w:pPr>
      <w:r>
        <w:rPr>
          <w:rFonts w:ascii="Times New Roman" w:cs="Times New Roman" w:eastAsia="Times New Roman" w:hAnsi="Times New Roman"/>
          <w:sz w:val="18"/>
          <w:szCs w:val="18"/>
          <w:color w:val="auto"/>
        </w:rPr>
        <w:t>The Company’s director compensation program is designed to enhance our ability to attract and retain highly qualified directors and to align their interests with the long-term interests of its stockholders. The program includes a cash component, which is intended to compensate non-employee directors for their service on our board of directors and an equity component, which is intended to align the interests of non-employee directors and stockholders. Directors who are employees of the Company receive no additional compensation for their service on our board of directors.</w:t>
      </w:r>
    </w:p>
    <w:p>
      <w:pPr>
        <w:spacing w:after="0" w:line="180"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18"/>
          <w:szCs w:val="18"/>
          <w:color w:val="auto"/>
        </w:rPr>
        <w:t>The Compensation Committee annually reviews compensation paid to our non-employee directors and makes recommendations for adjustments, as appropriate, to the full board of directors. As part of this annual review, the Compensation Committee considers the significant time commitment and skill level required by each non-employee director in serving on our board of directors and its various committees. The Compensation Committee seeks to maintain a market competitive director compensation program and, with the assistance of its independent compensation consultant, benchmarks our director compensation program against those maintained by the peer group we use to evaluate our executive compensation program.</w:t>
      </w:r>
    </w:p>
    <w:p>
      <w:pPr>
        <w:spacing w:after="0" w:line="183"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for 2024, our non-employee directors received the following cash compensation for their service on our board of directors and its committees:</w:t>
      </w:r>
    </w:p>
    <w:p>
      <w:pPr>
        <w:spacing w:after="0" w:line="162" w:lineRule="exact"/>
        <w:rPr>
          <w:sz w:val="20"/>
          <w:szCs w:val="20"/>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annual cash retainer;</w:t>
      </w:r>
    </w:p>
    <w:p>
      <w:pPr>
        <w:spacing w:after="0" w:line="225" w:lineRule="exact"/>
        <w:rPr>
          <w:rFonts w:ascii="Times New Roman" w:cs="Times New Roman" w:eastAsia="Times New Roman" w:hAnsi="Times New Roman"/>
          <w:sz w:val="18"/>
          <w:szCs w:val="18"/>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for the Chair of the board of directors;</w:t>
      </w:r>
    </w:p>
    <w:p>
      <w:pPr>
        <w:spacing w:after="0" w:line="225" w:lineRule="exact"/>
        <w:rPr>
          <w:rFonts w:ascii="Times New Roman" w:cs="Times New Roman" w:eastAsia="Times New Roman" w:hAnsi="Times New Roman"/>
          <w:sz w:val="18"/>
          <w:szCs w:val="18"/>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for the chair of the Audit Committee and $10,000 for each of its other members;</w:t>
      </w:r>
    </w:p>
    <w:p>
      <w:pPr>
        <w:spacing w:after="0" w:line="225" w:lineRule="exact"/>
        <w:rPr>
          <w:rFonts w:ascii="Times New Roman" w:cs="Times New Roman" w:eastAsia="Times New Roman" w:hAnsi="Times New Roman"/>
          <w:sz w:val="18"/>
          <w:szCs w:val="18"/>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for the chair of the Compensation Committee, and $6,000 for each of its other members;</w:t>
      </w:r>
    </w:p>
    <w:p>
      <w:pPr>
        <w:spacing w:after="0" w:line="225" w:lineRule="exact"/>
        <w:rPr>
          <w:rFonts w:ascii="Times New Roman" w:cs="Times New Roman" w:eastAsia="Times New Roman" w:hAnsi="Times New Roman"/>
          <w:sz w:val="18"/>
          <w:szCs w:val="18"/>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for the chair of the Nominating and Governance Committee, and $5,000 for each of its other members; and</w:t>
      </w:r>
    </w:p>
    <w:p>
      <w:pPr>
        <w:spacing w:after="0" w:line="225" w:lineRule="exact"/>
        <w:rPr>
          <w:rFonts w:ascii="Times New Roman" w:cs="Times New Roman" w:eastAsia="Times New Roman" w:hAnsi="Times New Roman"/>
          <w:sz w:val="18"/>
          <w:szCs w:val="18"/>
          <w:color w:val="auto"/>
        </w:rPr>
      </w:pPr>
    </w:p>
    <w:p>
      <w:pPr>
        <w:ind w:left="250" w:hanging="124"/>
        <w:spacing w:after="0"/>
        <w:tabs>
          <w:tab w:leader="none" w:pos="2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for the chair of the Science and Technology Committee, and $7,500 for each of its other members.</w:t>
      </w:r>
    </w:p>
    <w:p>
      <w:pPr>
        <w:spacing w:after="0" w:line="225"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18"/>
          <w:szCs w:val="18"/>
          <w:color w:val="auto"/>
        </w:rPr>
        <w:t>In February 2024, the Compensation Committee approve an additional cash retainer of $20,000 for Mr. Yedid to recognize the significant time that he had spent, in his capacity as a member of the board of directors, assisting and advising the Company on certain strategic transactions, financings and management issues.</w:t>
      </w:r>
    </w:p>
    <w:p>
      <w:pPr>
        <w:spacing w:after="0" w:line="176"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18"/>
          <w:szCs w:val="18"/>
          <w:color w:val="auto"/>
        </w:rPr>
        <w:t>In addition, each non-employee director who is initially elected or appointed to the board after the effective date of the program shall automatically be granted on the day of such first election or appointment: (i) a stock option to purchase 190,800 shares of our shares of common stock, and (ii) a RSU award covering 32,000 shares of our common stock (the “</w:t>
      </w: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Each Initial Award shall vest and become exercisable in substantially equal installments on each of the first three anniversaries of the date of grant, subject to the non-employee director continuing in service on the board through each such vesting date.</w:t>
      </w:r>
    </w:p>
    <w:p>
      <w:pPr>
        <w:spacing w:after="0" w:line="183" w:lineRule="exact"/>
        <w:rPr>
          <w:sz w:val="20"/>
          <w:szCs w:val="20"/>
          <w:color w:val="auto"/>
        </w:rPr>
      </w:pPr>
    </w:p>
    <w:p>
      <w:pPr>
        <w:jc w:val="both"/>
        <w:ind w:left="10"/>
        <w:spacing w:after="0" w:line="270" w:lineRule="auto"/>
        <w:rPr>
          <w:sz w:val="20"/>
          <w:szCs w:val="20"/>
          <w:color w:val="auto"/>
        </w:rPr>
      </w:pPr>
      <w:r>
        <w:rPr>
          <w:rFonts w:ascii="Times New Roman" w:cs="Times New Roman" w:eastAsia="Times New Roman" w:hAnsi="Times New Roman"/>
          <w:sz w:val="17"/>
          <w:szCs w:val="17"/>
          <w:color w:val="auto"/>
        </w:rPr>
        <w:t>A non-employee director who is serving on the board as of the date of any annual meeting after the effective date of the program, and who will continue to serve as a non-employee director immediately following such meeting, shall automatically be granted on the date of such annual meeting: (i) a stock option to purchase 95,400 shares of our common stock, and (ii) a RSU award covering 16,000 shares of our common stock (the “</w:t>
      </w:r>
      <w:r>
        <w:rPr>
          <w:rFonts w:ascii="Times New Roman" w:cs="Times New Roman" w:eastAsia="Times New Roman" w:hAnsi="Times New Roman"/>
          <w:sz w:val="17"/>
          <w:szCs w:val="17"/>
          <w:i w:val="1"/>
          <w:iCs w:val="1"/>
          <w:color w:val="auto"/>
        </w:rPr>
        <w:t>Annual Award</w:t>
      </w:r>
      <w:r>
        <w:rPr>
          <w:rFonts w:ascii="Times New Roman" w:cs="Times New Roman" w:eastAsia="Times New Roman" w:hAnsi="Times New Roman"/>
          <w:sz w:val="17"/>
          <w:szCs w:val="17"/>
          <w:color w:val="auto"/>
        </w:rPr>
        <w:t>”), which amounts are pro-rated for new directors to reflect their service since the last annual meeting. Each Annual Award shall vest and become exercisable on the earlier of</w:t>
      </w:r>
    </w:p>
    <w:p>
      <w:pPr>
        <w:spacing w:after="0" w:line="3" w:lineRule="exact"/>
        <w:rPr>
          <w:sz w:val="20"/>
          <w:szCs w:val="20"/>
          <w:color w:val="auto"/>
        </w:rPr>
      </w:pPr>
    </w:p>
    <w:p>
      <w:pPr>
        <w:ind w:left="10" w:right="60" w:hanging="10"/>
        <w:spacing w:after="0" w:line="260"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anniversary of the date of grant, or (y) the date immediately prior to the next annual meeting of the Company’s stockholders following the date of grant, subject to the non-employee director continuing in service on the board through such vesting date.</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Upon a change in control, all outstanding equity awards that are held by a non-employee director shall become fully vested and exercisable.</w:t>
      </w:r>
    </w:p>
    <w:p>
      <w:pPr>
        <w:spacing w:after="0" w:line="225"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0"/>
          </w:cols>
          <w:pgMar w:left="310" w:top="121"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following table provides director compensation information for each of the non-employee directors of the board of directors who served between January 1, 2024, and December 31, 2024. Dr. Michael J. Finney served as Interim Chief Executive Officer from January 16, 2024 until March 18, 2024 and, therefore, his compensation, including compensation received as a non-employee director during 2024, is included in the Summary Compensation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65,398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66,069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143,779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64,500</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142,881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68,595</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66,069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146,976</w:t>
            </w:r>
          </w:p>
        </w:tc>
      </w:tr>
      <w:tr>
        <w:trPr>
          <w:trHeight w:val="39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Robert A. Yedid</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80,152</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158,533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(1) Mr. Yedid resigned as a director on January 28, 2025.</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6"/>
        </w:trPr>
        <w:tc>
          <w:tcPr>
            <w:tcW w:w="800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 stock</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underlying RSUs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95,400</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Robert A. Yedid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as of December 31, 2024, under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5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00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future issuance</w:t>
            </w:r>
          </w:p>
        </w:tc>
      </w:tr>
      <w:tr>
        <w:trPr>
          <w:trHeight w:val="216"/>
        </w:trPr>
        <w:tc>
          <w:tcPr>
            <w:tcW w:w="500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00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00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(excluding securities</w:t>
            </w:r>
          </w:p>
        </w:tc>
      </w:tr>
      <w:tr>
        <w:trPr>
          <w:trHeight w:val="216"/>
        </w:trPr>
        <w:tc>
          <w:tcPr>
            <w:tcW w:w="5000" w:type="dxa"/>
            <w:vAlign w:val="bottom"/>
          </w:tcPr>
          <w:p>
            <w:pPr>
              <w:spacing w:after="0"/>
              <w:rPr>
                <w:sz w:val="18"/>
                <w:szCs w:val="18"/>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reflected in column</w:t>
            </w: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60" w:type="dxa"/>
            <w:vAlign w:val="bottom"/>
            <w:gridSpan w:val="3"/>
          </w:tcPr>
          <w:p>
            <w:pPr>
              <w:ind w:left="640"/>
              <w:spacing w:after="0" w:line="239" w:lineRule="exact"/>
              <w:rPr>
                <w:sz w:val="20"/>
                <w:szCs w:val="20"/>
                <w:color w:val="auto"/>
              </w:rPr>
            </w:pPr>
            <w:r>
              <w:rPr>
                <w:rFonts w:ascii="Times New Roman" w:cs="Times New Roman" w:eastAsia="Times New Roman" w:hAnsi="Times New Roman"/>
                <w:sz w:val="17"/>
                <w:szCs w:val="17"/>
                <w:b w:val="1"/>
                <w:bCs w:val="1"/>
                <w:color w:val="auto"/>
              </w:rPr>
              <w:t>and rights (a)</w:t>
            </w:r>
            <w:r>
              <w:rPr>
                <w:rFonts w:ascii="Times New Roman" w:cs="Times New Roman" w:eastAsia="Times New Roman" w:hAnsi="Times New Roman"/>
                <w:sz w:val="27"/>
                <w:szCs w:val="27"/>
                <w:b w:val="1"/>
                <w:bCs w:val="1"/>
                <w:color w:val="auto"/>
                <w:vertAlign w:val="superscript"/>
              </w:rPr>
              <w:t>(1)</w:t>
            </w:r>
          </w:p>
        </w:tc>
        <w:tc>
          <w:tcPr>
            <w:tcW w:w="1300" w:type="dxa"/>
            <w:vAlign w:val="bottom"/>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27"/>
                <w:szCs w:val="27"/>
                <w:b w:val="1"/>
                <w:bCs w:val="1"/>
                <w:color w:val="auto"/>
                <w:vertAlign w:val="superscript"/>
              </w:rPr>
              <w:t>(2)</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27"/>
                <w:szCs w:val="27"/>
                <w:b w:val="1"/>
                <w:bCs w:val="1"/>
                <w:color w:val="auto"/>
                <w:vertAlign w:val="superscript"/>
              </w:rPr>
              <w:t>(3)</w:t>
            </w: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6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22,025,470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20,409,276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6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1,396,250</w:t>
            </w:r>
          </w:p>
        </w:tc>
        <w:tc>
          <w:tcPr>
            <w:tcW w:w="2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1,603,750</w:t>
            </w:r>
          </w:p>
        </w:tc>
      </w:tr>
      <w:tr>
        <w:trPr>
          <w:trHeight w:val="20"/>
        </w:trPr>
        <w:tc>
          <w:tcPr>
            <w:tcW w:w="5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23,421,720</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22,013,026</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20" w:right="280" w:hanging="312"/>
        <w:spacing w:after="0" w:line="266"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20,405,239 shares issuable upon the exercise of stock options outstanding under the 2016 Equity Incentive Plan, the 2019 Equity Incentive Plan and the 2024 Inducement Award Plan, and 3,016,481 shares issuable upon the vesting and payment of outstanding time-based restricted stock units outstanding under the 2019 Equity Incentive Plan and the 2024 Inducement Award Plan.</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time-based restricted stock units set forth in footnote 1 above, because those awards do not have an exercise price.</w:t>
      </w:r>
    </w:p>
    <w:p>
      <w:pPr>
        <w:spacing w:after="0" w:line="225"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19,650,124 shares of common stock available for future issuance under the 2019 Equity Incentive Plan and the 2024 Inducement Award Plan, and 2,362,902 shares of common stock available for purchase under the 2022 Employee Stock Purchase Plan. No new awards may be granted under the 2016 Equity Incentive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March 14, 2025, with respect to the beneficial ownership of our common stock by: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our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our directors; and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is based on 227,949,245 shares of common stock outstanding as of March 14, 2025. In computing the number of shares beneficially owned by an individual or entity and the percentage ownership of that person, shares of common stock subject to the exercise of options, warrants or other rights held by such person that are currently exercisable or will become exercisable within 60 days of March 14, 2025 are counted as outstanding. Unless noted otherwise, the address of all listed stockholder is 170 Harbor Way, Suite 300, South San Francisco, California. Each of the stockholders listed has sole voting and investment power with respect to the shares beneficially owned by the stockholder unless noted otherwise, subject to community property laws where applicable.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00" w:type="dxa"/>
            <w:vAlign w:val="bottom"/>
          </w:tcPr>
          <w:p>
            <w:pPr>
              <w:spacing w:after="0"/>
              <w:rPr>
                <w:sz w:val="20"/>
                <w:szCs w:val="20"/>
                <w:color w:val="auto"/>
              </w:rPr>
            </w:pPr>
          </w:p>
        </w:tc>
        <w:tc>
          <w:tcPr>
            <w:tcW w:w="2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0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Sio Capital Management, LLC</w:t>
            </w:r>
          </w:p>
        </w:tc>
        <w:tc>
          <w:tcPr>
            <w:tcW w:w="226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11,515,315</w:t>
            </w:r>
            <w:r>
              <w:rPr>
                <w:rFonts w:ascii="Times New Roman" w:cs="Times New Roman" w:eastAsia="Times New Roman" w:hAnsi="Times New Roman"/>
                <w:sz w:val="25"/>
                <w:szCs w:val="25"/>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Steven Lo</w:t>
            </w:r>
          </w:p>
        </w:tc>
        <w:tc>
          <w:tcPr>
            <w:tcW w:w="226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333,333</w:t>
            </w:r>
            <w:r>
              <w:rPr>
                <w:rFonts w:ascii="Times New Roman" w:cs="Times New Roman" w:eastAsia="Times New Roman" w:hAnsi="Times New Roman"/>
                <w:sz w:val="25"/>
                <w:szCs w:val="25"/>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Andrei Floroiu, M.B.A.</w:t>
            </w:r>
          </w:p>
        </w:tc>
        <w:tc>
          <w:tcPr>
            <w:tcW w:w="2260" w:type="dxa"/>
            <w:vAlign w:val="bottom"/>
            <w:gridSpan w:val="3"/>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3,266,985</w:t>
            </w:r>
            <w:r>
              <w:rPr>
                <w:rFonts w:ascii="Times New Roman" w:cs="Times New Roman" w:eastAsia="Times New Roman" w:hAnsi="Times New Roman"/>
                <w:sz w:val="25"/>
                <w:szCs w:val="25"/>
                <w:color w:val="auto"/>
                <w:vertAlign w:val="superscript"/>
              </w:rPr>
              <w:t>(3)</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James Cummings, M.D.</w:t>
            </w:r>
          </w:p>
        </w:tc>
        <w:tc>
          <w:tcPr>
            <w:tcW w:w="226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1,247,102</w:t>
            </w:r>
            <w:r>
              <w:rPr>
                <w:rFonts w:ascii="Times New Roman" w:cs="Times New Roman" w:eastAsia="Times New Roman" w:hAnsi="Times New Roman"/>
                <w:sz w:val="25"/>
                <w:szCs w:val="25"/>
                <w:color w:val="auto"/>
                <w:vertAlign w:val="superscript"/>
              </w:rPr>
              <w:t>(4)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Tucker, Ph.D.</w:t>
            </w:r>
          </w:p>
        </w:tc>
        <w:tc>
          <w:tcPr>
            <w:tcW w:w="2260" w:type="dxa"/>
            <w:vAlign w:val="bottom"/>
            <w:gridSpan w:val="3"/>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1,613,568</w:t>
            </w:r>
            <w:r>
              <w:rPr>
                <w:rFonts w:ascii="Times New Roman" w:cs="Times New Roman" w:eastAsia="Times New Roman" w:hAnsi="Times New Roman"/>
                <w:sz w:val="25"/>
                <w:szCs w:val="25"/>
                <w:color w:val="auto"/>
                <w:vertAlign w:val="superscript"/>
              </w:rPr>
              <w:t>(5)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Michael J. Finney, Ph.D.</w:t>
            </w:r>
          </w:p>
        </w:tc>
        <w:tc>
          <w:tcPr>
            <w:tcW w:w="226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840,085</w:t>
            </w:r>
            <w:r>
              <w:rPr>
                <w:rFonts w:ascii="Times New Roman" w:cs="Times New Roman" w:eastAsia="Times New Roman" w:hAnsi="Times New Roman"/>
                <w:sz w:val="25"/>
                <w:szCs w:val="25"/>
                <w:color w:val="auto"/>
                <w:vertAlign w:val="superscript"/>
              </w:rPr>
              <w:t>(6)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Finney</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Elaine J. Heron, Ph.D.</w:t>
            </w:r>
          </w:p>
        </w:tc>
        <w:tc>
          <w:tcPr>
            <w:tcW w:w="2260" w:type="dxa"/>
            <w:vAlign w:val="bottom"/>
            <w:gridSpan w:val="3"/>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120,124</w:t>
            </w:r>
            <w:r>
              <w:rPr>
                <w:rFonts w:ascii="Times New Roman" w:cs="Times New Roman" w:eastAsia="Times New Roman" w:hAnsi="Times New Roman"/>
                <w:sz w:val="25"/>
                <w:szCs w:val="25"/>
                <w:color w:val="auto"/>
                <w:vertAlign w:val="superscript"/>
              </w:rPr>
              <w:t>(8)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Mark Watson</w:t>
            </w:r>
          </w:p>
        </w:tc>
        <w:tc>
          <w:tcPr>
            <w:tcW w:w="2260" w:type="dxa"/>
            <w:vAlign w:val="bottom"/>
            <w:gridSpan w:val="3"/>
            <w:shd w:val="clear" w:color="auto" w:fill="CCEEFF"/>
          </w:tcPr>
          <w:p>
            <w:pPr>
              <w:jc w:val="right"/>
              <w:ind w:right="180"/>
              <w:spacing w:after="0" w:line="216" w:lineRule="exact"/>
              <w:rPr>
                <w:sz w:val="20"/>
                <w:szCs w:val="20"/>
                <w:color w:val="auto"/>
              </w:rPr>
            </w:pPr>
            <w:r>
              <w:rPr>
                <w:rFonts w:ascii="Times New Roman" w:cs="Times New Roman" w:eastAsia="Times New Roman" w:hAnsi="Times New Roman"/>
                <w:sz w:val="16"/>
                <w:szCs w:val="16"/>
                <w:color w:val="auto"/>
              </w:rPr>
              <w:t>160,397</w:t>
            </w:r>
            <w:r>
              <w:rPr>
                <w:rFonts w:ascii="Times New Roman" w:cs="Times New Roman" w:eastAsia="Times New Roman" w:hAnsi="Times New Roman"/>
                <w:sz w:val="25"/>
                <w:szCs w:val="25"/>
                <w:color w:val="auto"/>
                <w:vertAlign w:val="superscript"/>
              </w:rPr>
              <w:t>(9)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168,898</w:t>
            </w:r>
            <w:r>
              <w:rPr>
                <w:rFonts w:ascii="Times New Roman" w:cs="Times New Roman" w:eastAsia="Times New Roman" w:hAnsi="Times New Roman"/>
                <w:sz w:val="14"/>
                <w:szCs w:val="14"/>
                <w:color w:val="auto"/>
              </w:rPr>
              <w:t>(10)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Robert A. Yedid</w:t>
            </w:r>
            <w:r>
              <w:rPr>
                <w:rFonts w:ascii="Times New Roman" w:cs="Times New Roman" w:eastAsia="Times New Roman" w:hAnsi="Times New Roman"/>
                <w:sz w:val="25"/>
                <w:szCs w:val="25"/>
                <w:color w:val="auto"/>
                <w:vertAlign w:val="superscript"/>
              </w:rPr>
              <w:t>(12)</w:t>
            </w:r>
          </w:p>
        </w:tc>
        <w:tc>
          <w:tcPr>
            <w:tcW w:w="2260" w:type="dxa"/>
            <w:vAlign w:val="bottom"/>
            <w:gridSpan w:val="3"/>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197,975</w:t>
            </w:r>
            <w:r>
              <w:rPr>
                <w:rFonts w:ascii="Times New Roman" w:cs="Times New Roman" w:eastAsia="Times New Roman" w:hAnsi="Times New Roman"/>
                <w:sz w:val="25"/>
                <w:szCs w:val="25"/>
                <w:color w:val="auto"/>
                <w:vertAlign w:val="superscript"/>
              </w:rPr>
              <w:t>(11)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individuals)</w:t>
            </w:r>
            <w:r>
              <w:rPr>
                <w:rFonts w:ascii="Times New Roman" w:cs="Times New Roman" w:eastAsia="Times New Roman" w:hAnsi="Times New Roman"/>
                <w:sz w:val="29"/>
                <w:szCs w:val="29"/>
                <w:color w:val="auto"/>
                <w:vertAlign w:val="superscript"/>
              </w:rPr>
              <w:t>(13)</w:t>
            </w:r>
          </w:p>
        </w:tc>
        <w:tc>
          <w:tcPr>
            <w:tcW w:w="2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6,152,070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6" w:lineRule="exact"/>
        <w:rPr>
          <w:sz w:val="20"/>
          <w:szCs w:val="20"/>
          <w:color w:val="auto"/>
        </w:rPr>
      </w:pPr>
    </w:p>
    <w:p>
      <w:pPr>
        <w:ind w:left="420" w:hanging="304"/>
        <w:spacing w:after="0"/>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25" w:lineRule="exact"/>
        <w:rPr>
          <w:sz w:val="20"/>
          <w:szCs w:val="20"/>
          <w:color w:val="auto"/>
        </w:rPr>
      </w:pPr>
    </w:p>
    <w:p>
      <w:pPr>
        <w:ind w:left="420" w:right="220" w:hanging="304"/>
        <w:spacing w:after="0" w:line="261"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February 10, 2025, by Sio Capital Management, LLC (“Sio Capital”). Consists of 11,515,315 shares of common stock held by various investors, for which Sio Capital serves as an investment adviser. Sio Capital may be deemed to beneficially own the 11,515,315 shares of common stock but disclaims beneficial ownership of such shares. The principal business office of Sio Capital is 600 Third Avenue, 2nd Floor, New York, New York 10016.</w:t>
      </w:r>
    </w:p>
    <w:p>
      <w:pPr>
        <w:spacing w:after="0" w:line="179" w:lineRule="exact"/>
        <w:rPr>
          <w:rFonts w:ascii="Times New Roman" w:cs="Times New Roman" w:eastAsia="Times New Roman" w:hAnsi="Times New Roman"/>
          <w:sz w:val="18"/>
          <w:szCs w:val="18"/>
          <w:color w:val="auto"/>
        </w:rPr>
      </w:pPr>
    </w:p>
    <w:p>
      <w:pPr>
        <w:ind w:left="420" w:right="20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270,833 shares issuable pursuant to stock options exercisable and 62,500 shares issuable pursuant to restricted stock unit vesting within 60 days of March 14, 2025.</w:t>
      </w:r>
    </w:p>
    <w:p>
      <w:pPr>
        <w:spacing w:after="0" w:line="161" w:lineRule="exact"/>
        <w:rPr>
          <w:rFonts w:ascii="Times New Roman" w:cs="Times New Roman" w:eastAsia="Times New Roman" w:hAnsi="Times New Roman"/>
          <w:sz w:val="18"/>
          <w:szCs w:val="18"/>
          <w:color w:val="auto"/>
        </w:rPr>
      </w:pPr>
    </w:p>
    <w:p>
      <w:pPr>
        <w:ind w:left="420" w:right="12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207,610 shares of common stock held directly by Mr. Floroiu, and (ii) 3,059,375 shares issuable pursuant to stock options exercisable within 60 days of March 14, 2025.</w:t>
      </w:r>
    </w:p>
    <w:p>
      <w:pPr>
        <w:spacing w:after="0" w:line="161" w:lineRule="exact"/>
        <w:rPr>
          <w:rFonts w:ascii="Times New Roman" w:cs="Times New Roman" w:eastAsia="Times New Roman" w:hAnsi="Times New Roman"/>
          <w:sz w:val="18"/>
          <w:szCs w:val="18"/>
          <w:color w:val="auto"/>
        </w:rPr>
      </w:pPr>
    </w:p>
    <w:p>
      <w:pPr>
        <w:ind w:left="420" w:right="74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192,947 shares of common stock held directly by Dr. Cummings, and (ii) 1,024,010 shares issuable pursuant to stock options exercisable and 30,145 shares issuable pursuant to restricted stock unit vesting within 60 days of March 14, 2025.</w:t>
      </w:r>
    </w:p>
    <w:p>
      <w:pPr>
        <w:spacing w:after="0" w:line="161" w:lineRule="exact"/>
        <w:rPr>
          <w:rFonts w:ascii="Times New Roman" w:cs="Times New Roman" w:eastAsia="Times New Roman" w:hAnsi="Times New Roman"/>
          <w:sz w:val="18"/>
          <w:szCs w:val="18"/>
          <w:color w:val="auto"/>
        </w:rPr>
      </w:pPr>
    </w:p>
    <w:p>
      <w:pPr>
        <w:jc w:val="both"/>
        <w:ind w:left="420" w:right="120" w:hanging="304"/>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189,579 shares held directly by Dr. Tucker, (ii) 51,465 shares held jointly by Frances Chang and Dr. Tucker, (iii) 9,060 shares held by Dr. Tucker’s spouse, and (iv) 1,333,929 shares issuable pursuant to stock options exercisable and 29,535 shares issuable pursuant to restricted stock unit vesting within 60 days of March 14, 2025.</w:t>
      </w:r>
    </w:p>
    <w:p>
      <w:pPr>
        <w:spacing w:after="0" w:line="175" w:lineRule="exact"/>
        <w:rPr>
          <w:rFonts w:ascii="Times New Roman" w:cs="Times New Roman" w:eastAsia="Times New Roman" w:hAnsi="Times New Roman"/>
          <w:sz w:val="18"/>
          <w:szCs w:val="18"/>
          <w:color w:val="auto"/>
        </w:rPr>
      </w:pPr>
    </w:p>
    <w:p>
      <w:pPr>
        <w:ind w:left="420" w:right="40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670,840 shares of common stock held directly by Dr. Michael J. Finney, and (ii) 169,245 shares issuable pursuant to stock options exercisable vesting within 60 days of March 14, 2025.</w:t>
      </w:r>
    </w:p>
    <w:p>
      <w:pPr>
        <w:spacing w:after="0" w:line="161"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Kevin Finney does not own any common stock of the Company.</w:t>
      </w:r>
    </w:p>
    <w:p>
      <w:pPr>
        <w:spacing w:after="0" w:line="225" w:lineRule="exact"/>
        <w:rPr>
          <w:rFonts w:ascii="Times New Roman" w:cs="Times New Roman" w:eastAsia="Times New Roman" w:hAnsi="Times New Roman"/>
          <w:sz w:val="18"/>
          <w:szCs w:val="18"/>
          <w:color w:val="auto"/>
        </w:rPr>
      </w:pPr>
    </w:p>
    <w:p>
      <w:pPr>
        <w:ind w:left="420" w:right="46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19,649 shares of common stock held directly by Dr. Heron, and (ii) 100,475 shares issuable pursuant to stock options exercisable vesting within 60 days of March 14, 2025.</w:t>
      </w:r>
    </w:p>
    <w:p>
      <w:pPr>
        <w:spacing w:after="0" w:line="161" w:lineRule="exact"/>
        <w:rPr>
          <w:rFonts w:ascii="Times New Roman" w:cs="Times New Roman" w:eastAsia="Times New Roman" w:hAnsi="Times New Roman"/>
          <w:sz w:val="18"/>
          <w:szCs w:val="18"/>
          <w:color w:val="auto"/>
        </w:rPr>
      </w:pPr>
    </w:p>
    <w:p>
      <w:pPr>
        <w:ind w:left="420" w:right="34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57,208 shares of common stock held directly by Mr. Watson, and (ii) 103,189 shares issuable pursuant to stock options exercisable vesting within 60 days of March 14, 2025.</w:t>
      </w:r>
    </w:p>
    <w:p>
      <w:pPr>
        <w:spacing w:after="0" w:line="161" w:lineRule="exact"/>
        <w:rPr>
          <w:rFonts w:ascii="Times New Roman" w:cs="Times New Roman" w:eastAsia="Times New Roman" w:hAnsi="Times New Roman"/>
          <w:sz w:val="18"/>
          <w:szCs w:val="18"/>
          <w:color w:val="auto"/>
        </w:rPr>
      </w:pPr>
    </w:p>
    <w:p>
      <w:pPr>
        <w:ind w:left="420" w:right="22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14,750 shares of common stock held directly by Dr. Wheadon, and (ii) 154,148 shares issuable pursuant to stock options exercisable vesting within 60 days of March 14, 2025.</w:t>
      </w:r>
    </w:p>
    <w:p>
      <w:pPr>
        <w:spacing w:after="0" w:line="161" w:lineRule="exact"/>
        <w:rPr>
          <w:rFonts w:ascii="Times New Roman" w:cs="Times New Roman" w:eastAsia="Times New Roman" w:hAnsi="Times New Roman"/>
          <w:sz w:val="18"/>
          <w:szCs w:val="18"/>
          <w:color w:val="auto"/>
        </w:rPr>
      </w:pPr>
    </w:p>
    <w:p>
      <w:pPr>
        <w:ind w:left="420" w:right="460" w:hanging="304"/>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18,490 shares of common stock held directly by Mr. Yedid, and (ii) 179,485 shares issuable pursuant to stock options exercisable vesting within 60 days of March 14, 2025.</w:t>
      </w:r>
    </w:p>
    <w:p>
      <w:pPr>
        <w:sectPr>
          <w:pgSz w:w="11900" w:h="16838" w:orient="portrait"/>
          <w:cols w:equalWidth="0" w:num="1">
            <w:col w:w="11240"/>
          </w:cols>
          <w:pgMar w:left="320" w:top="121" w:right="339" w:bottom="0" w:gutter="0" w:footer="0" w:header="0"/>
        </w:sectPr>
      </w:pPr>
    </w:p>
    <w:bookmarkStart w:id="130" w:name="page131"/>
    <w:bookmarkEnd w:id="130"/>
    <w:p>
      <w:pPr>
        <w:ind w:left="304" w:hanging="304"/>
        <w:spacing w:after="0"/>
        <w:tabs>
          <w:tab w:leader="none" w:pos="3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Yedid resigned as a director on January 28, 2025.</w:t>
      </w:r>
    </w:p>
    <w:p>
      <w:pPr>
        <w:spacing w:after="0" w:line="225" w:lineRule="exact"/>
        <w:rPr>
          <w:rFonts w:ascii="Times New Roman" w:cs="Times New Roman" w:eastAsia="Times New Roman" w:hAnsi="Times New Roman"/>
          <w:sz w:val="18"/>
          <w:szCs w:val="18"/>
          <w:color w:val="auto"/>
        </w:rPr>
      </w:pPr>
    </w:p>
    <w:p>
      <w:pPr>
        <w:ind w:left="304" w:hanging="304"/>
        <w:spacing w:after="0" w:line="282" w:lineRule="auto"/>
        <w:tabs>
          <w:tab w:leader="none" w:pos="3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Mr. Floroiu, who resigned as President and Chief Executive Officer of the Company and as a member of the board of directors in January 2024, and Mr. Yedid, who resigned as a member of the board of directors in January 2025.</w:t>
      </w:r>
    </w:p>
    <w:p>
      <w:pPr>
        <w:spacing w:after="0" w:line="16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4"/>
          </w:cols>
          <w:pgMar w:left="436" w:top="337" w:right="5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 Policy and Procedures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Party Transaction Policy that sets forth our policies and procedures regarding the identification, review, consideration and approval or ratification of “related party transactions.” For purposes of our policy only, a “related party transaction” is a transaction, arrangement or relationship (including indebtedness or a guarantee of indebtedness) or any series of similar transactions, arrangements or relationships in which we and any “related party” are, were or will be participants involving an amount that exceeds $120,000 and in which any “related party” has a direct or indirect material interest. Certain types of related party transactions are deemed to be pre-approved or ratified, as applicable, including: (i) the payment of compensation by us to our executive officers or directors; and (ii) a transaction where the related party’s interest arises solely from the ownership of a class of equity securities of the Company and all holders of that class of equity securities received the same benefit on a pro rata basis. A related party is any executive officer, director, nominee to become a director or more than 5% stockholder of us, including any of their immediate family members, and any entity owned or controlled by such persons. We describe below such transactions or series of similar transactions to which we have been or were a party since January 1, 2023.</w:t>
      </w:r>
    </w:p>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Under the policy, where a transaction has been identified as a related party transaction, management must present information regarding the proposed related party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parties, the benefits to us of the transaction and whether any alternative transactions were available. To identify related party transactions in advance, we rely on information supplied by our executive officers, directors and certain significant stockholders. In considering related party transactions, the Audit Committee takes into account the relevant available facts and circumstances including, but not limited to (a) the risks, costs and benefits to us, (b) the impact on a director’s independence in the event the related party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 party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Indemnity Agreements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indemnity agreements with our executive officers and directors which provide, among other things, that we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entered into letter agreements, employment agreements and change in control arrangements with our executive officers. For more information regarding these agreements, see the “Executive Compensation” section of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31, 2024, we entered into a Separation Agreement with Mr. Floroiu, our former President and Chief Executive Officer. For a description of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Floroiu’s separation arrangements, see the “Executive Compensation” section of this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members of our board of directors. For a description of our executive officers’ options, see the “Executive Compensation — Outstanding Equity Awards as of December 31, 2024” section of this Annual Report.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listing standards, a majority of the members of a listed company’s board of directors must qualify as “independent,” as affirmatively determined by the board of directors. The board of directors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us, our senior management and our independent auditors, the board of directors has affirmatively determined that all of our current directors, other than Mr. Lo due to his positions as our current President and Chief Executive Officer, are independent within the meaning of the applicable Nasdaq listing standards. In making this determination, the board of directors found that none of the independent nominees for director had a material or other disqualifying relationship with Vaxart.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 serves as our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aggregate fees including expenses billed to us for the years ended December 31, 2024 and 2023 by our auditors: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669,361</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Fees</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669,361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 for pre-approving all audit and non-audit services to be performed by our independent auditors. The policy requires pre-approval of all services rendered by our independent auditors either as part of the Audit Committee’s approval of the scope of the engagement of the independent auditors or on a case-by-case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 (see “Financial Statements and Supplementary Data” at Item 8 and incorporated herein by reference).</w:t>
      </w:r>
    </w:p>
    <w:p>
      <w:pPr>
        <w:spacing w:after="0" w:line="225" w:lineRule="exact"/>
        <w:rPr>
          <w:sz w:val="20"/>
          <w:szCs w:val="20"/>
          <w:color w:val="auto"/>
        </w:rPr>
      </w:pPr>
    </w:p>
    <w:p>
      <w:pPr>
        <w:ind w:left="500" w:hanging="492"/>
        <w:spacing w:after="0" w:line="282"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 (Schedules to the Financial Statements have been omitted because the information required to be set forth therein is not applicable or is shown in the accompanying Financial Statements or notes thereto).</w:t>
      </w:r>
    </w:p>
    <w:p>
      <w:pPr>
        <w:spacing w:after="0" w:line="162" w:lineRule="exact"/>
        <w:rPr>
          <w:sz w:val="20"/>
          <w:szCs w:val="20"/>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 (see “Exhibit Index” below).</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(a)(3).</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564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720" w:type="dxa"/>
            <w:vAlign w:val="bottom"/>
            <w:tcBorders>
              <w:bottom w:val="single" w:sz="8" w:color="auto"/>
            </w:tcBorders>
            <w:gridSpan w:val="4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4720" w:type="dxa"/>
            <w:vAlign w:val="bottom"/>
            <w:gridSpan w:val="43"/>
          </w:tcPr>
          <w:p>
            <w:pPr>
              <w:spacing w:after="0" w:line="169"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Agreement and Plan of Merger and Reorganization dated</w:t>
              </w:r>
            </w:hyperlink>
          </w:p>
        </w:tc>
        <w:tc>
          <w:tcPr>
            <w:tcW w:w="15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October 30, 2017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October 27, 2017, by and among Aviragen Therapeutics, 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Vaxart, Inc. and Agora Merger Sub, Inc.</w:t>
              </w:r>
            </w:hyperlink>
          </w:p>
        </w:tc>
        <w:tc>
          <w:tcPr>
            <w:tcW w:w="1540" w:type="dxa"/>
            <w:vAlign w:val="bottom"/>
            <w:tcBorders>
              <w:top w:val="single" w:sz="8" w:color="0000EE"/>
            </w:tcBorders>
            <w:gridSpan w:val="22"/>
          </w:tcPr>
          <w:p>
            <w:pPr>
              <w:spacing w:after="0"/>
              <w:rPr>
                <w:sz w:val="17"/>
                <w:szCs w:val="17"/>
                <w:color w:val="auto"/>
              </w:rPr>
            </w:pPr>
          </w:p>
        </w:tc>
        <w:tc>
          <w:tcPr>
            <w:tcW w:w="12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9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Amendment No. 1, dated as of February 7, 2018, to the</w:t>
              </w:r>
            </w:hyperlink>
          </w:p>
        </w:tc>
        <w:tc>
          <w:tcPr>
            <w:tcW w:w="740" w:type="dxa"/>
            <w:vAlign w:val="bottom"/>
            <w:gridSpan w:val="16"/>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7,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Agreement and Plan of Merger and Reorganization dated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October 27, 2017, by and among Aviragen Therapeutics, 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Vaxart, Inc. and Agora Merger Sub, Inc.</w:t>
              </w:r>
            </w:hyperlink>
          </w:p>
        </w:tc>
        <w:tc>
          <w:tcPr>
            <w:tcW w:w="1540" w:type="dxa"/>
            <w:vAlign w:val="bottom"/>
            <w:tcBorders>
              <w:top w:val="single" w:sz="8" w:color="0000EE"/>
            </w:tcBorders>
            <w:gridSpan w:val="22"/>
          </w:tcPr>
          <w:p>
            <w:pPr>
              <w:spacing w:after="0"/>
              <w:rPr>
                <w:sz w:val="17"/>
                <w:szCs w:val="17"/>
                <w:color w:val="auto"/>
              </w:rPr>
            </w:pPr>
          </w:p>
        </w:tc>
        <w:tc>
          <w:tcPr>
            <w:tcW w:w="12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5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Restated Certificate of Incorporation of Aviragen Therapeutics,</w:t>
              </w:r>
            </w:hyperlink>
          </w:p>
        </w:tc>
        <w:tc>
          <w:tcPr>
            <w:tcW w:w="160" w:type="dxa"/>
            <w:vAlign w:val="bottom"/>
            <w:gridSpan w:val="7"/>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13, 2016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Incorporation of Aviragen Therapeutics,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Incorporation of Vaxart, Inc.</w:t>
              </w:r>
            </w:hyperlink>
          </w:p>
        </w:tc>
        <w:tc>
          <w:tcPr>
            <w:tcW w:w="1500" w:type="dxa"/>
            <w:vAlign w:val="bottom"/>
            <w:tcBorders>
              <w:top w:val="single" w:sz="8" w:color="0000EE"/>
            </w:tcBorders>
            <w:gridSpan w:val="14"/>
          </w:tcPr>
          <w:p>
            <w:pPr>
              <w:spacing w:after="0"/>
              <w:rPr>
                <w:sz w:val="17"/>
                <w:szCs w:val="17"/>
                <w:color w:val="auto"/>
              </w:rPr>
            </w:pPr>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37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Certificate of Amendment to Restated Certificate of</w:t>
              </w:r>
            </w:hyperlink>
          </w:p>
        </w:tc>
        <w:tc>
          <w:tcPr>
            <w:tcW w:w="980" w:type="dxa"/>
            <w:vAlign w:val="bottom"/>
            <w:gridSpan w:val="1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Incorporation of Vaxart, Inc.</w:t>
              </w:r>
            </w:hyperlink>
          </w:p>
        </w:tc>
        <w:tc>
          <w:tcPr>
            <w:tcW w:w="2500" w:type="dxa"/>
            <w:vAlign w:val="bottom"/>
            <w:gridSpan w:val="33"/>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June 9,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Incorporation of Vaxart, Inc.</w:t>
              </w:r>
            </w:hyperlink>
          </w:p>
        </w:tc>
        <w:tc>
          <w:tcPr>
            <w:tcW w:w="1500" w:type="dxa"/>
            <w:vAlign w:val="bottom"/>
            <w:tcBorders>
              <w:top w:val="single" w:sz="8" w:color="0000EE"/>
            </w:tcBorders>
            <w:gridSpan w:val="14"/>
          </w:tcPr>
          <w:p>
            <w:pPr>
              <w:spacing w:after="0"/>
              <w:rPr>
                <w:sz w:val="17"/>
                <w:szCs w:val="17"/>
                <w:color w:val="auto"/>
              </w:rPr>
            </w:pPr>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Incorporation of Vaxart,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Certificate of Amendment to Restated Certificate of</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Incorporation of Vaxart, Inc.</w:t>
              </w:r>
            </w:hyperlink>
          </w:p>
        </w:tc>
        <w:tc>
          <w:tcPr>
            <w:tcW w:w="10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5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Amended and Restated By-laws of Vaxart, Inc., effective as of</w:t>
              </w:r>
            </w:hyperlink>
          </w:p>
        </w:tc>
        <w:tc>
          <w:tcPr>
            <w:tcW w:w="220" w:type="dxa"/>
            <w:vAlign w:val="bottom"/>
            <w:gridSpan w:val="9"/>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October 23,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October 18, 2023</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720" w:type="dxa"/>
            <w:vAlign w:val="bottom"/>
            <w:gridSpan w:val="4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118">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to </w:t>
            </w:r>
            <w:hyperlink r:id="rId126">
              <w:r>
                <w:rPr>
                  <w:rFonts w:ascii="Times New Roman" w:cs="Times New Roman" w:eastAsia="Times New Roman" w:hAnsi="Times New Roman"/>
                  <w:sz w:val="18"/>
                  <w:szCs w:val="18"/>
                  <w:color w:val="0000EE"/>
                </w:rPr>
                <w:t>3.8</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Specimen Common Stock Certificate</w:t>
              </w:r>
            </w:hyperlink>
          </w:p>
        </w:tc>
        <w:tc>
          <w:tcPr>
            <w:tcW w:w="2000" w:type="dxa"/>
            <w:vAlign w:val="bottom"/>
            <w:gridSpan w:val="31"/>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333-228910</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20, 2018</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0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Form of Pre-Funded Warrant (April 2019)</w:t>
              </w:r>
            </w:hyperlink>
          </w:p>
        </w:tc>
        <w:tc>
          <w:tcPr>
            <w:tcW w:w="1680" w:type="dxa"/>
            <w:vAlign w:val="bottom"/>
            <w:gridSpan w:val="2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6,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Common Stock Warrant (April 2019)</w:t>
              </w:r>
            </w:hyperlink>
          </w:p>
        </w:tc>
        <w:tc>
          <w:tcPr>
            <w:tcW w:w="1360" w:type="dxa"/>
            <w:vAlign w:val="bottom"/>
            <w:gridSpan w:val="24"/>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8,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Representative Warrant (April 2019)</w:t>
              </w:r>
            </w:hyperlink>
          </w:p>
        </w:tc>
        <w:tc>
          <w:tcPr>
            <w:tcW w:w="1440" w:type="dxa"/>
            <w:vAlign w:val="bottom"/>
            <w:gridSpan w:val="25"/>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333-229536</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8,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Pre-Funded Warrant (September 2019)</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7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September 11, 2019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Common Stock Warrant (September 2019)</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7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September 11,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6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Representative Warrant (September 2019)</w:t>
              </w:r>
            </w:hyperlink>
          </w:p>
        </w:tc>
        <w:tc>
          <w:tcPr>
            <w:tcW w:w="40" w:type="dxa"/>
            <w:vAlign w:val="bottom"/>
            <w:tcBorders>
              <w:top w:val="single" w:sz="8" w:color="0000EE"/>
            </w:tcBorders>
          </w:tcPr>
          <w:p>
            <w:pPr>
              <w:spacing w:after="0"/>
              <w:rPr>
                <w:sz w:val="17"/>
                <w:szCs w:val="17"/>
                <w:color w:val="auto"/>
              </w:rPr>
            </w:pPr>
          </w:p>
        </w:tc>
        <w:tc>
          <w:tcPr>
            <w:tcW w:w="1020" w:type="dxa"/>
            <w:vAlign w:val="bottom"/>
            <w:gridSpan w:val="20"/>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24, 2019</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Common Stock Warrant (March 2020)</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Form of Placement Agent Warrant (March 2020)</w:t>
              </w:r>
            </w:hyperlink>
          </w:p>
        </w:tc>
        <w:tc>
          <w:tcPr>
            <w:tcW w:w="1200" w:type="dxa"/>
            <w:vAlign w:val="bottom"/>
            <w:gridSpan w:val="22"/>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4.11 *</w:t>
            </w:r>
          </w:p>
        </w:tc>
        <w:tc>
          <w:tcPr>
            <w:tcW w:w="472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of the Registrant</w:t>
            </w: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458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Amended and Restated Warrant issued to Oxford Finance LLC,</w:t>
              </w:r>
            </w:hyperlink>
          </w:p>
        </w:tc>
        <w:tc>
          <w:tcPr>
            <w:tcW w:w="140" w:type="dxa"/>
            <w:vAlign w:val="bottom"/>
            <w:gridSpan w:val="6"/>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760" w:type="dxa"/>
            <w:vAlign w:val="bottom"/>
            <w:gridSpan w:val="7"/>
            <w:vMerge w:val="restart"/>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dated February 13, 2018</w:t>
              </w:r>
            </w:hyperlink>
          </w:p>
        </w:tc>
        <w:tc>
          <w:tcPr>
            <w:tcW w:w="2960" w:type="dxa"/>
            <w:vAlign w:val="bottom"/>
            <w:gridSpan w:val="36"/>
            <w:vMerge w:val="restart"/>
          </w:tcPr>
          <w:p>
            <w:pPr>
              <w:spacing w:after="0"/>
              <w:rPr>
                <w:sz w:val="11"/>
                <w:szCs w:val="11"/>
                <w:color w:val="auto"/>
              </w:rPr>
            </w:pPr>
          </w:p>
        </w:tc>
        <w:tc>
          <w:tcPr>
            <w:tcW w:w="15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20" w:type="dxa"/>
            <w:vAlign w:val="bottom"/>
          </w:tcPr>
          <w:p>
            <w:pPr>
              <w:spacing w:after="0"/>
              <w:rPr>
                <w:sz w:val="5"/>
                <w:szCs w:val="5"/>
                <w:color w:val="auto"/>
              </w:rPr>
            </w:pPr>
          </w:p>
        </w:tc>
        <w:tc>
          <w:tcPr>
            <w:tcW w:w="1760" w:type="dxa"/>
            <w:vAlign w:val="bottom"/>
            <w:tcBorders>
              <w:bottom w:val="single" w:sz="8" w:color="0000EE"/>
            </w:tcBorders>
            <w:gridSpan w:val="7"/>
            <w:vMerge w:val="continue"/>
          </w:tcPr>
          <w:p>
            <w:pPr>
              <w:spacing w:after="0"/>
              <w:rPr>
                <w:sz w:val="5"/>
                <w:szCs w:val="5"/>
                <w:color w:val="auto"/>
              </w:rPr>
            </w:pPr>
          </w:p>
        </w:tc>
        <w:tc>
          <w:tcPr>
            <w:tcW w:w="2960" w:type="dxa"/>
            <w:vAlign w:val="bottom"/>
            <w:gridSpan w:val="36"/>
            <w:vMerge w:val="continue"/>
          </w:tcPr>
          <w:p>
            <w:pPr>
              <w:spacing w:after="0"/>
              <w:rPr>
                <w:sz w:val="5"/>
                <w:szCs w:val="5"/>
                <w:color w:val="auto"/>
              </w:rPr>
            </w:pPr>
          </w:p>
        </w:tc>
        <w:tc>
          <w:tcPr>
            <w:tcW w:w="1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Collaboration and License Agreement dated September 29, 2003,</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54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between Biota Holdings Limited and Sankyo Co., Ltd.</w:t>
              </w:r>
            </w:hyperlink>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 +</w:t>
            </w:r>
          </w:p>
        </w:tc>
        <w:tc>
          <w:tcPr>
            <w:tcW w:w="45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Amendment #1 to Collaboration and License Agreement dated</w:t>
              </w:r>
            </w:hyperlink>
          </w:p>
        </w:tc>
        <w:tc>
          <w:tcPr>
            <w:tcW w:w="200" w:type="dxa"/>
            <w:vAlign w:val="bottom"/>
            <w:gridSpan w:val="8"/>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June 30, 2005, between Biota Holdings Limited,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Scientific Management Pty. Ltd. and Sankyo Company, Ltd.</w:t>
              </w:r>
            </w:hyperlink>
          </w:p>
        </w:tc>
        <w:tc>
          <w:tcPr>
            <w:tcW w:w="22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56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Amendment #2 to Collaboration and License Agreement, dated</w:t>
              </w:r>
            </w:hyperlink>
          </w:p>
        </w:tc>
        <w:tc>
          <w:tcPr>
            <w:tcW w:w="160" w:type="dxa"/>
            <w:vAlign w:val="bottom"/>
            <w:gridSpan w:val="7"/>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March 27, 2009, between Biota Holdings Limited,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Scientific Management Pty. Ltd. and Daiichi Sankyo</w:t>
              </w:r>
            </w:hyperlink>
          </w:p>
        </w:tc>
        <w:tc>
          <w:tcPr>
            <w:tcW w:w="260" w:type="dxa"/>
            <w:vAlign w:val="bottom"/>
            <w:tcBorders>
              <w:top w:val="single" w:sz="8" w:color="0000EE"/>
            </w:tcBorders>
            <w:gridSpan w:val="3"/>
          </w:tcPr>
          <w:p>
            <w:pPr>
              <w:spacing w:after="0"/>
              <w:rPr>
                <w:sz w:val="17"/>
                <w:szCs w:val="17"/>
                <w:color w:val="auto"/>
              </w:rPr>
            </w:pPr>
          </w:p>
        </w:tc>
        <w:tc>
          <w:tcPr>
            <w:tcW w:w="50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Company, Limited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Commercialization Agreement dated March 27, 2009, between</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10.8</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2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Biota Holdings Limited, Biota Scientific Management Pty. Ltd</w:t>
              </w:r>
            </w:hyperlink>
          </w:p>
        </w:tc>
        <w:tc>
          <w:tcPr>
            <w:tcW w:w="4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and Daiichi Sankyo Company, Ltd.</w:t>
              </w:r>
            </w:hyperlink>
          </w:p>
        </w:tc>
        <w:tc>
          <w:tcPr>
            <w:tcW w:w="2000" w:type="dxa"/>
            <w:vAlign w:val="bottom"/>
            <w:gridSpan w:val="31"/>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4720" w:type="dxa"/>
            <w:vAlign w:val="bottom"/>
            <w:gridSpan w:val="4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Contract dated March 31, 2011, between Biota Scientific</w:t>
              </w:r>
            </w:hyperlink>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10.9</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10, 2013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20" w:type="dxa"/>
            <w:vAlign w:val="bottom"/>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Management Pty. Ltd. and Office of Biomedical Advanced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Research and Development Authority within the Office of the</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80" w:type="dxa"/>
            <w:vAlign w:val="bottom"/>
            <w:gridSpan w:val="1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Assistant Secretary for preparedness and Response at the U.S.</w:t>
              </w:r>
            </w:hyperlink>
          </w:p>
        </w:tc>
        <w:tc>
          <w:tcPr>
            <w:tcW w:w="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Department of Health and Human Services</w:t>
              </w:r>
            </w:hyperlink>
          </w:p>
        </w:tc>
        <w:tc>
          <w:tcPr>
            <w:tcW w:w="1460" w:type="dxa"/>
            <w:vAlign w:val="bottom"/>
            <w:gridSpan w:val="26"/>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10.6 +</w:t>
            </w:r>
          </w:p>
        </w:tc>
        <w:tc>
          <w:tcPr>
            <w:tcW w:w="44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Research and License Agreement dated February 21, 1990, by</w:t>
              </w:r>
            </w:hyperlink>
          </w:p>
        </w:tc>
        <w:tc>
          <w:tcPr>
            <w:tcW w:w="240" w:type="dxa"/>
            <w:vAlign w:val="bottom"/>
            <w:gridSpan w:val="10"/>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27,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and among Biota Scientific Management Pty. Ltd., Biota</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1520" w:type="dxa"/>
            <w:vAlign w:val="bottom"/>
            <w:gridSpan w:val="1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Holdings Limited, Glaxo Australia Pty. Ltd. and Glaxo Group</w:t>
              </w:r>
            </w:hyperlink>
          </w:p>
        </w:tc>
        <w:tc>
          <w:tcPr>
            <w:tcW w:w="10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Limited</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0" w:type="dxa"/>
            <w:vAlign w:val="bottom"/>
            <w:gridSpan w:val="19"/>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10.7 #</w:t>
            </w:r>
          </w:p>
        </w:tc>
        <w:tc>
          <w:tcPr>
            <w:tcW w:w="46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2007 Omnibus Equity and Incentive Plan (included as Appendix</w:t>
              </w:r>
            </w:hyperlink>
          </w:p>
        </w:tc>
        <w:tc>
          <w:tcPr>
            <w:tcW w:w="80" w:type="dxa"/>
            <w:vAlign w:val="bottom"/>
            <w:gridSpan w:val="3"/>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000-04829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12, 2007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 to the proxy statement)</w:t>
              </w:r>
            </w:hyperlink>
          </w:p>
        </w:tc>
        <w:tc>
          <w:tcPr>
            <w:tcW w:w="2680" w:type="dxa"/>
            <w:vAlign w:val="bottom"/>
            <w:gridSpan w:val="35"/>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10.8 #</w:t>
            </w:r>
          </w:p>
        </w:tc>
        <w:tc>
          <w:tcPr>
            <w:tcW w:w="43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Employee Stock Option Agreement under the 2007</w:t>
              </w:r>
            </w:hyperlink>
          </w:p>
        </w:tc>
        <w:tc>
          <w:tcPr>
            <w:tcW w:w="400" w:type="dxa"/>
            <w:vAlign w:val="bottom"/>
            <w:gridSpan w:val="12"/>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10, 2013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42"/>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Omnibus Equity and Incentive Plan</w:t>
              </w:r>
            </w:hyperlink>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582"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582"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578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bottom w:val="single" w:sz="8" w:color="0000EE"/>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60" w:type="dxa"/>
            <w:vAlign w:val="bottom"/>
            <w:tcBorders>
              <w:bottom w:val="single" w:sz="8" w:color="auto"/>
            </w:tcBorders>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5780" w:type="dxa"/>
            <w:vAlign w:val="bottom"/>
            <w:gridSpan w:val="37"/>
          </w:tcPr>
          <w:p>
            <w:pPr>
              <w:ind w:left="2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   </w:t>
            </w:r>
            <w:hyperlink r:id="rId146">
              <w:r>
                <w:rPr>
                  <w:rFonts w:ascii="Times New Roman" w:cs="Times New Roman" w:eastAsia="Times New Roman" w:hAnsi="Times New Roman"/>
                  <w:sz w:val="18"/>
                  <w:szCs w:val="18"/>
                  <w:color w:val="0000EE"/>
                </w:rPr>
                <w:t>Royalty Interest Acquisition Agreement by and between</w:t>
              </w:r>
            </w:hyperlink>
          </w:p>
        </w:tc>
        <w:tc>
          <w:tcPr>
            <w:tcW w:w="13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April 26,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Aviragen Therapeutics, Inc., Biota Holdings Pty Ltd, Biota</w:t>
              </w:r>
            </w:hyperlink>
          </w:p>
        </w:tc>
        <w:tc>
          <w:tcPr>
            <w:tcW w:w="460" w:type="dxa"/>
            <w:vAlign w:val="bottom"/>
            <w:gridSpan w:val="10"/>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Scientific Management Pty. Ltd. and HealthCare Royalty</w:t>
              </w:r>
            </w:hyperlink>
          </w:p>
        </w:tc>
        <w:tc>
          <w:tcPr>
            <w:tcW w:w="580" w:type="dxa"/>
            <w:vAlign w:val="bottom"/>
            <w:gridSpan w:val="1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Partners III, L.P. dated April 22, 2016</w:t>
              </w:r>
            </w:hyperlink>
          </w:p>
        </w:tc>
        <w:tc>
          <w:tcPr>
            <w:tcW w:w="1980" w:type="dxa"/>
            <w:vAlign w:val="bottom"/>
            <w:gridSpan w:val="2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147">
              <w:r>
                <w:rPr>
                  <w:rFonts w:ascii="Times New Roman" w:cs="Times New Roman" w:eastAsia="Times New Roman" w:hAnsi="Times New Roman"/>
                  <w:sz w:val="18"/>
                  <w:szCs w:val="18"/>
                  <w:color w:val="0000EE"/>
                </w:rPr>
                <w:t>Protective Rights Agreement between Aviragen Therapeutics,</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26, 2016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Inc. and HealthCare Royalty Partners III, L.P. dated April 22,</w:t>
              </w:r>
            </w:hyperlink>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60"/>
              <w:spacing w:after="0" w:line="196" w:lineRule="exact"/>
              <w:rPr>
                <w:rFonts w:ascii="Times New Roman" w:cs="Times New Roman" w:eastAsia="Times New Roman" w:hAnsi="Times New Roman"/>
                <w:sz w:val="18"/>
                <w:szCs w:val="18"/>
                <w:color w:val="0000EE"/>
                <w:w w:val="94"/>
              </w:rPr>
            </w:pPr>
            <w:hyperlink r:id="rId147">
              <w:r>
                <w:rPr>
                  <w:rFonts w:ascii="Times New Roman" w:cs="Times New Roman" w:eastAsia="Times New Roman" w:hAnsi="Times New Roman"/>
                  <w:sz w:val="18"/>
                  <w:szCs w:val="18"/>
                  <w:color w:val="0000EE"/>
                  <w:w w:val="94"/>
                </w:rPr>
                <w:t>2016</w:t>
              </w:r>
            </w:hyperlink>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10.11 #  </w:t>
            </w:r>
            <w:hyperlink r:id="rId148">
              <w:r>
                <w:rPr>
                  <w:rFonts w:ascii="Times New Roman" w:cs="Times New Roman" w:eastAsia="Times New Roman" w:hAnsi="Times New Roman"/>
                  <w:sz w:val="18"/>
                  <w:szCs w:val="18"/>
                  <w:color w:val="0000EE"/>
                </w:rPr>
                <w:t>Form of Employee Stock Option Agreement under the 2016</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8,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Equity Incentive Plan</w:t>
              </w:r>
            </w:hyperlink>
          </w:p>
        </w:tc>
        <w:tc>
          <w:tcPr>
            <w:tcW w:w="2600" w:type="dxa"/>
            <w:vAlign w:val="bottom"/>
            <w:tcBorders>
              <w:top w:val="single" w:sz="8" w:color="0000EE"/>
            </w:tcBorders>
            <w:gridSpan w:val="16"/>
          </w:tcPr>
          <w:p>
            <w:pPr>
              <w:spacing w:after="0"/>
              <w:rPr>
                <w:sz w:val="17"/>
                <w:szCs w:val="17"/>
                <w:color w:val="auto"/>
              </w:rPr>
            </w:pPr>
          </w:p>
        </w:tc>
        <w:tc>
          <w:tcPr>
            <w:tcW w:w="540" w:type="dxa"/>
            <w:vAlign w:val="bottom"/>
            <w:gridSpan w:val="1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  </w:t>
            </w:r>
            <w:hyperlink r:id="rId149">
              <w:r>
                <w:rPr>
                  <w:rFonts w:ascii="Times New Roman" w:cs="Times New Roman" w:eastAsia="Times New Roman" w:hAnsi="Times New Roman"/>
                  <w:sz w:val="18"/>
                  <w:szCs w:val="18"/>
                  <w:color w:val="0000EE"/>
                </w:rPr>
                <w:t>2016 Equity Incentive Plan (included as Appendix A to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DEF 14A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27, 2016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proxy statement)</w:t>
              </w:r>
            </w:hyperlink>
          </w:p>
        </w:tc>
        <w:tc>
          <w:tcPr>
            <w:tcW w:w="600" w:type="dxa"/>
            <w:vAlign w:val="bottom"/>
            <w:gridSpan w:val="1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10.13 #</w:t>
            </w:r>
          </w:p>
        </w:tc>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Director Stock Option Agreement</w:t>
              </w:r>
            </w:hyperlink>
          </w:p>
        </w:tc>
        <w:tc>
          <w:tcPr>
            <w:tcW w:w="2420" w:type="dxa"/>
            <w:vAlign w:val="bottom"/>
            <w:gridSpan w:val="25"/>
          </w:tcPr>
          <w:p>
            <w:pPr>
              <w:spacing w:after="0"/>
              <w:rPr>
                <w:sz w:val="17"/>
                <w:szCs w:val="17"/>
                <w:color w:val="auto"/>
              </w:rPr>
            </w:pPr>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12, 2017</w:t>
            </w: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10.14   </w:t>
            </w:r>
            <w:hyperlink r:id="rId151">
              <w:r>
                <w:rPr>
                  <w:rFonts w:ascii="Times New Roman" w:cs="Times New Roman" w:eastAsia="Times New Roman" w:hAnsi="Times New Roman"/>
                  <w:sz w:val="18"/>
                  <w:szCs w:val="18"/>
                  <w:color w:val="0000EE"/>
                </w:rPr>
                <w:t>Form of Indemnification Agreement by and between Vaxart, Inc.</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20,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and its Directors and Executive Officers</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  </w:t>
            </w:r>
            <w:hyperlink r:id="rId152">
              <w:r>
                <w:rPr>
                  <w:rFonts w:ascii="Times New Roman" w:cs="Times New Roman" w:eastAsia="Times New Roman" w:hAnsi="Times New Roman"/>
                  <w:sz w:val="18"/>
                  <w:szCs w:val="18"/>
                  <w:color w:val="0000EE"/>
                </w:rPr>
                <w:t>Vaxart, Inc. Amended and Restated 2007 Equity Incentive Plan,</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1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Stock Option Agreement, form of Notice of Stock Option</w:t>
              </w:r>
            </w:hyperlink>
          </w:p>
        </w:tc>
        <w:tc>
          <w:tcPr>
            <w:tcW w:w="28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Grant, form of Additional Terms and Conditions to Option and</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Stock Option Exercise Agreement</w:t>
              </w:r>
            </w:hyperlink>
          </w:p>
        </w:tc>
        <w:tc>
          <w:tcPr>
            <w:tcW w:w="2240" w:type="dxa"/>
            <w:vAlign w:val="bottom"/>
            <w:gridSpan w:val="2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10.16   </w:t>
            </w:r>
            <w:hyperlink r:id="rId153">
              <w:r>
                <w:rPr>
                  <w:rFonts w:ascii="Times New Roman" w:cs="Times New Roman" w:eastAsia="Times New Roman" w:hAnsi="Times New Roman"/>
                  <w:sz w:val="18"/>
                  <w:szCs w:val="18"/>
                  <w:color w:val="0000EE"/>
                </w:rPr>
                <w:t>Industrial Lease dated October 28, 2013, by and between Vaxart,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 and Oyster Point LLC</w:t>
              </w:r>
            </w:hyperlink>
          </w:p>
        </w:tc>
        <w:tc>
          <w:tcPr>
            <w:tcW w:w="20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54">
              <w:r>
                <w:rPr>
                  <w:rFonts w:ascii="Times New Roman" w:cs="Times New Roman" w:eastAsia="Times New Roman" w:hAnsi="Times New Roman"/>
                  <w:sz w:val="18"/>
                  <w:szCs w:val="18"/>
                  <w:color w:val="0000EE"/>
                </w:rPr>
                <w:t>Lease Agreement dated April 17, 2015, by and between Vaxart,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S-4/A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333-222009</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December 29, 2017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Inc. and CRP Edgewater, LLC</w:t>
              </w:r>
            </w:hyperlink>
          </w:p>
        </w:tc>
        <w:tc>
          <w:tcPr>
            <w:tcW w:w="2220" w:type="dxa"/>
            <w:vAlign w:val="bottom"/>
            <w:tcBorders>
              <w:top w:val="single" w:sz="8" w:color="0000EE"/>
            </w:tcBorders>
            <w:gridSpan w:val="21"/>
          </w:tcPr>
          <w:p>
            <w:pPr>
              <w:spacing w:after="0"/>
              <w:rPr>
                <w:sz w:val="17"/>
                <w:szCs w:val="17"/>
                <w:color w:val="auto"/>
              </w:rPr>
            </w:pPr>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  </w:t>
            </w:r>
            <w:hyperlink r:id="rId155">
              <w:r>
                <w:rPr>
                  <w:rFonts w:ascii="Times New Roman" w:cs="Times New Roman" w:eastAsia="Times New Roman" w:hAnsi="Times New Roman"/>
                  <w:sz w:val="18"/>
                  <w:szCs w:val="18"/>
                  <w:color w:val="0000EE"/>
                </w:rPr>
                <w:t>Severance Benefit Plan and Form of Severance Benefit Plan</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June 6, 2018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r:id="rId155">
              <w:r>
                <w:rPr>
                  <w:rFonts w:ascii="Times New Roman" w:cs="Times New Roman" w:eastAsia="Times New Roman" w:hAnsi="Times New Roman"/>
                  <w:sz w:val="18"/>
                  <w:szCs w:val="18"/>
                  <w:color w:val="0000EE"/>
                  <w:w w:val="96"/>
                </w:rPr>
                <w:t>Participation Notice</w:t>
              </w:r>
            </w:hyperlink>
          </w:p>
        </w:tc>
        <w:tc>
          <w:tcPr>
            <w:tcW w:w="2720" w:type="dxa"/>
            <w:vAlign w:val="bottom"/>
            <w:tcBorders>
              <w:top w:val="single" w:sz="8" w:color="0000EE"/>
            </w:tcBorders>
            <w:gridSpan w:val="18"/>
          </w:tcPr>
          <w:p>
            <w:pPr>
              <w:spacing w:after="0"/>
              <w:rPr>
                <w:sz w:val="17"/>
                <w:szCs w:val="17"/>
                <w:color w:val="auto"/>
              </w:rPr>
            </w:pPr>
          </w:p>
        </w:tc>
        <w:tc>
          <w:tcPr>
            <w:tcW w:w="540" w:type="dxa"/>
            <w:vAlign w:val="bottom"/>
            <w:gridSpan w:val="1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10.19 #  </w:t>
            </w:r>
            <w:hyperlink r:id="rId156">
              <w:r>
                <w:rPr>
                  <w:rFonts w:ascii="Times New Roman" w:cs="Times New Roman" w:eastAsia="Times New Roman" w:hAnsi="Times New Roman"/>
                  <w:sz w:val="18"/>
                  <w:szCs w:val="18"/>
                  <w:color w:val="0000EE"/>
                </w:rPr>
                <w:t>2019 Equity Incentive Plan, as amended</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21,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  </w:t>
            </w:r>
            <w:hyperlink r:id="rId157">
              <w:r>
                <w:rPr>
                  <w:rFonts w:ascii="Times New Roman" w:cs="Times New Roman" w:eastAsia="Times New Roman" w:hAnsi="Times New Roman"/>
                  <w:sz w:val="18"/>
                  <w:szCs w:val="18"/>
                  <w:color w:val="0000EE"/>
                </w:rPr>
                <w:t>Form of Stock Option Grant Notice, Stock Option Agreement</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333-239727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July 7, 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and Notice of Exercise under the 2019 Equity Incentive Plan</w:t>
              </w:r>
            </w:hyperlink>
          </w:p>
        </w:tc>
        <w:tc>
          <w:tcPr>
            <w:tcW w:w="320" w:type="dxa"/>
            <w:vAlign w:val="bottom"/>
            <w:gridSpan w:val="7"/>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  </w:t>
            </w:r>
            <w:hyperlink r:id="rId158">
              <w:r>
                <w:rPr>
                  <w:rFonts w:ascii="Times New Roman" w:cs="Times New Roman" w:eastAsia="Times New Roman" w:hAnsi="Times New Roman"/>
                  <w:sz w:val="18"/>
                  <w:szCs w:val="18"/>
                  <w:color w:val="0000EE"/>
                </w:rPr>
                <w:t>Form of Restricted Stock Unit Grant Notice and Restricted Stock</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April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Unit Award Agreement under the 2019 Equity Incentive Plan</w:t>
              </w:r>
            </w:hyperlink>
          </w:p>
        </w:tc>
        <w:tc>
          <w:tcPr>
            <w:tcW w:w="1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tcBorders>
              <w:right w:val="single" w:sz="8" w:color="0000EE"/>
            </w:tcBorders>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  </w:t>
            </w:r>
            <w:hyperlink r:id="rId159">
              <w:r>
                <w:rPr>
                  <w:rFonts w:ascii="Times New Roman" w:cs="Times New Roman" w:eastAsia="Times New Roman" w:hAnsi="Times New Roman"/>
                  <w:sz w:val="18"/>
                  <w:szCs w:val="18"/>
                  <w:color w:val="0000EE"/>
                </w:rPr>
                <w:t>Manufacturing Services Agreement dated July 17, 2019, by and</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333-233717</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24,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between Vaxart, Inc. and Lonza Houston, Inc.</w:t>
              </w:r>
            </w:hyperlink>
          </w:p>
        </w:tc>
        <w:tc>
          <w:tcPr>
            <w:tcW w:w="1120" w:type="dxa"/>
            <w:vAlign w:val="bottom"/>
            <w:tcBorders>
              <w:top w:val="single" w:sz="8" w:color="0000EE"/>
            </w:tcBorders>
            <w:gridSpan w:val="15"/>
          </w:tcPr>
          <w:p>
            <w:pPr>
              <w:spacing w:after="0"/>
              <w:rPr>
                <w:sz w:val="17"/>
                <w:szCs w:val="17"/>
                <w:color w:val="auto"/>
              </w:rPr>
            </w:pPr>
          </w:p>
        </w:tc>
        <w:tc>
          <w:tcPr>
            <w:tcW w:w="2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160">
              <w:r>
                <w:rPr>
                  <w:rFonts w:ascii="Times New Roman" w:cs="Times New Roman" w:eastAsia="Times New Roman" w:hAnsi="Times New Roman"/>
                  <w:sz w:val="18"/>
                  <w:szCs w:val="18"/>
                  <w:color w:val="0000EE"/>
                </w:rPr>
                <w:t>First Amendment to Lease Agreement dated September 17,</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19, 2019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2019, by and between Vaxart, Inc. and HCP Inc.</w:t>
              </w:r>
            </w:hyperlink>
          </w:p>
        </w:tc>
        <w:tc>
          <w:tcPr>
            <w:tcW w:w="620" w:type="dxa"/>
            <w:vAlign w:val="bottom"/>
            <w:tcBorders>
              <w:top w:val="single" w:sz="8" w:color="0000EE"/>
            </w:tcBorders>
            <w:gridSpan w:val="4"/>
          </w:tcPr>
          <w:p>
            <w:pPr>
              <w:spacing w:after="0"/>
              <w:rPr>
                <w:sz w:val="17"/>
                <w:szCs w:val="17"/>
                <w:color w:val="auto"/>
              </w:rPr>
            </w:pPr>
          </w:p>
        </w:tc>
        <w:tc>
          <w:tcPr>
            <w:tcW w:w="600" w:type="dxa"/>
            <w:vAlign w:val="bottom"/>
            <w:gridSpan w:val="15"/>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  </w:t>
            </w:r>
            <w:hyperlink r:id="rId161">
              <w:r>
                <w:rPr>
                  <w:rFonts w:ascii="Times New Roman" w:cs="Times New Roman" w:eastAsia="Times New Roman" w:hAnsi="Times New Roman"/>
                  <w:sz w:val="18"/>
                  <w:szCs w:val="18"/>
                  <w:color w:val="0000EE"/>
                </w:rPr>
                <w:t>Offer Letter, dated May 1, 2006, by and between the Company</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May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and Dr. Sean Tucker</w:t>
              </w:r>
            </w:hyperlink>
          </w:p>
        </w:tc>
        <w:tc>
          <w:tcPr>
            <w:tcW w:w="340" w:type="dxa"/>
            <w:vAlign w:val="bottom"/>
            <w:gridSpan w:val="8"/>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  </w:t>
            </w:r>
            <w:hyperlink r:id="rId162">
              <w:r>
                <w:rPr>
                  <w:rFonts w:ascii="Times New Roman" w:cs="Times New Roman" w:eastAsia="Times New Roman" w:hAnsi="Times New Roman"/>
                  <w:sz w:val="18"/>
                  <w:szCs w:val="18"/>
                  <w:color w:val="0000EE"/>
                </w:rPr>
                <w:t>Letter Agreement, dated June 14, 2020, between Vaxart, Inc. and</w:t>
              </w:r>
            </w:hyperlink>
          </w:p>
        </w:tc>
        <w:tc>
          <w:tcPr>
            <w:tcW w:w="13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15,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6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Andrei Floroiu</w:t>
              </w:r>
            </w:hyperlink>
          </w:p>
        </w:tc>
        <w:tc>
          <w:tcPr>
            <w:tcW w:w="20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  </w:t>
            </w:r>
            <w:hyperlink r:id="rId163">
              <w:r>
                <w:rPr>
                  <w:rFonts w:ascii="Times New Roman" w:cs="Times New Roman" w:eastAsia="Times New Roman" w:hAnsi="Times New Roman"/>
                  <w:sz w:val="18"/>
                  <w:szCs w:val="18"/>
                  <w:color w:val="0000EE"/>
                </w:rPr>
                <w:t>Master Services Agreement, dated April 17, 2020, by and</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between Vaxart, Inc. and Kindred Biosciences, Inc.</w:t>
              </w:r>
            </w:hyperlink>
          </w:p>
        </w:tc>
        <w:tc>
          <w:tcPr>
            <w:tcW w:w="720" w:type="dxa"/>
            <w:vAlign w:val="bottom"/>
            <w:gridSpan w:val="16"/>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  </w:t>
            </w:r>
            <w:hyperlink r:id="rId164">
              <w:r>
                <w:rPr>
                  <w:rFonts w:ascii="Times New Roman" w:cs="Times New Roman" w:eastAsia="Times New Roman" w:hAnsi="Times New Roman"/>
                  <w:sz w:val="18"/>
                  <w:szCs w:val="18"/>
                  <w:color w:val="0000EE"/>
                </w:rPr>
                <w:t>Statement of Work 003, dated September 11, 2020, under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Master Services Agreement, dated April 17, 2020, by and</w:t>
              </w:r>
            </w:hyperlink>
          </w:p>
        </w:tc>
        <w:tc>
          <w:tcPr>
            <w:tcW w:w="480" w:type="dxa"/>
            <w:vAlign w:val="bottom"/>
            <w:gridSpan w:val="11"/>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between Vaxart, Inc. and Kindred Biosciences, Inc.</w:t>
              </w:r>
            </w:hyperlink>
          </w:p>
        </w:tc>
        <w:tc>
          <w:tcPr>
            <w:tcW w:w="560" w:type="dxa"/>
            <w:vAlign w:val="bottom"/>
            <w:gridSpan w:val="1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1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  </w:t>
            </w:r>
            <w:hyperlink r:id="rId165">
              <w:r>
                <w:rPr>
                  <w:rFonts w:ascii="Times New Roman" w:cs="Times New Roman" w:eastAsia="Times New Roman" w:hAnsi="Times New Roman"/>
                  <w:sz w:val="18"/>
                  <w:szCs w:val="18"/>
                  <w:color w:val="0000EE"/>
                </w:rPr>
                <w:t>Statement of Work 004, dated September 11, 2020, under the</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12, 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Master Services Agreement, dated April 17, 2020, by and</w:t>
              </w:r>
            </w:hyperlink>
          </w:p>
        </w:tc>
        <w:tc>
          <w:tcPr>
            <w:tcW w:w="480" w:type="dxa"/>
            <w:vAlign w:val="bottom"/>
            <w:gridSpan w:val="11"/>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between Vaxart, Inc. and Kindred Biosciences, Inc.</w:t>
              </w:r>
            </w:hyperlink>
          </w:p>
        </w:tc>
        <w:tc>
          <w:tcPr>
            <w:tcW w:w="560" w:type="dxa"/>
            <w:vAlign w:val="bottom"/>
            <w:gridSpan w:val="13"/>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2860" w:type="dxa"/>
            <w:vAlign w:val="bottom"/>
            <w:tcBorders>
              <w:right w:val="single" w:sz="8" w:color="0000EE"/>
            </w:tcBorders>
            <w:gridSpan w:val="1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37"/>
          </w:tcPr>
          <w:p>
            <w:pPr>
              <w:ind w:left="26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166">
              <w:r>
                <w:rPr>
                  <w:rFonts w:ascii="Times New Roman" w:cs="Times New Roman" w:eastAsia="Times New Roman" w:hAnsi="Times New Roman"/>
                  <w:sz w:val="18"/>
                  <w:szCs w:val="18"/>
                  <w:color w:val="0000EE"/>
                </w:rPr>
                <w:t>Sublease Agreement dated November 16, 2020, by and between</w:t>
              </w:r>
            </w:hyperlink>
          </w:p>
        </w:tc>
        <w:tc>
          <w:tcPr>
            <w:tcW w:w="138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20" w:type="dxa"/>
            <w:vAlign w:val="bottom"/>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25,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Vaxart, Inc. and Vera Therapeutics, Inc.</w:t>
              </w:r>
            </w:hyperlink>
          </w:p>
        </w:tc>
        <w:tc>
          <w:tcPr>
            <w:tcW w:w="26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Borders>
              <w:top w:val="single" w:sz="8" w:color="0000EE"/>
            </w:tcBorders>
            <w:gridSpan w:val="14"/>
          </w:tcPr>
          <w:p>
            <w:pPr>
              <w:spacing w:after="0"/>
              <w:rPr>
                <w:sz w:val="24"/>
                <w:szCs w:val="24"/>
                <w:color w:val="auto"/>
              </w:rPr>
            </w:pPr>
          </w:p>
        </w:tc>
        <w:tc>
          <w:tcPr>
            <w:tcW w:w="1820" w:type="dxa"/>
            <w:vAlign w:val="bottom"/>
            <w:gridSpan w:val="21"/>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5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0320" w:type="dxa"/>
            <w:vAlign w:val="bottom"/>
            <w:gridSpan w:val="55"/>
          </w:tcPr>
          <w:p>
            <w:pPr>
              <w:spacing w:after="0"/>
              <w:rPr>
                <w:sz w:val="20"/>
                <w:szCs w:val="20"/>
                <w:color w:val="auto"/>
              </w:rPr>
            </w:pPr>
            <w:r>
              <w:rPr>
                <w:rFonts w:ascii="Times New Roman" w:cs="Times New Roman" w:eastAsia="Times New Roman" w:hAnsi="Times New Roman"/>
                <w:sz w:val="18"/>
                <w:szCs w:val="18"/>
                <w:b w:val="1"/>
                <w:bCs w:val="1"/>
                <w:color w:val="auto"/>
              </w:rPr>
              <w:t>File</w:t>
            </w: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720" w:type="dxa"/>
            <w:vAlign w:val="bottom"/>
            <w:tcBorders>
              <w:bottom w:val="single" w:sz="8" w:color="auto"/>
            </w:tcBorders>
            <w:gridSpan w:val="51"/>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10.30</w:t>
            </w:r>
          </w:p>
        </w:tc>
        <w:tc>
          <w:tcPr>
            <w:tcW w:w="4720" w:type="dxa"/>
            <w:vAlign w:val="bottom"/>
            <w:gridSpan w:val="51"/>
          </w:tcPr>
          <w:p>
            <w:pPr>
              <w:spacing w:after="0" w:line="169"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Lease Agreement, dated September 17, 2021, by and between</w:t>
              </w:r>
            </w:hyperlink>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rPr>
              <w:t>September 21,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Vaxart, Inc. and Britannia Pointe Grand Limited Partnership</w:t>
              </w:r>
            </w:hyperlink>
          </w:p>
        </w:tc>
        <w:tc>
          <w:tcPr>
            <w:tcW w:w="220" w:type="dxa"/>
            <w:vAlign w:val="bottom"/>
            <w:gridSpan w:val="8"/>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456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Second Amendment to Lease Agreement, dated September 17,</w:t>
              </w:r>
            </w:hyperlink>
          </w:p>
        </w:tc>
        <w:tc>
          <w:tcPr>
            <w:tcW w:w="160" w:type="dxa"/>
            <w:vAlign w:val="bottom"/>
            <w:gridSpan w:val="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September 21,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46"/>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2021, by and between Vaxart, Inc. and Healthpeak Properties,</w:t>
              </w:r>
            </w:hyperlink>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5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10.32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Offer Letter, dated August 16, 2021, by and between the</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November 4, 2021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Company and James Cummings MD</w:t>
              </w:r>
            </w:hyperlink>
          </w:p>
        </w:tc>
        <w:tc>
          <w:tcPr>
            <w:tcW w:w="1220" w:type="dxa"/>
            <w:vAlign w:val="bottom"/>
            <w:tcBorders>
              <w:top w:val="single" w:sz="8" w:color="0000EE"/>
            </w:tcBorders>
            <w:gridSpan w:val="11"/>
          </w:tcPr>
          <w:p>
            <w:pPr>
              <w:spacing w:after="0"/>
              <w:rPr>
                <w:sz w:val="17"/>
                <w:szCs w:val="17"/>
                <w:color w:val="auto"/>
              </w:rPr>
            </w:pPr>
          </w:p>
        </w:tc>
        <w:tc>
          <w:tcPr>
            <w:tcW w:w="680" w:type="dxa"/>
            <w:vAlign w:val="bottom"/>
            <w:gridSpan w:val="2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10.33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Offer letter, dated January 18, 2022, by and between the</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24,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Company and Edward Berg</w:t>
              </w:r>
            </w:hyperlink>
          </w:p>
        </w:tc>
        <w:tc>
          <w:tcPr>
            <w:tcW w:w="1860" w:type="dxa"/>
            <w:vAlign w:val="bottom"/>
            <w:tcBorders>
              <w:top w:val="single" w:sz="8" w:color="0000EE"/>
            </w:tcBorders>
            <w:gridSpan w:val="15"/>
          </w:tcPr>
          <w:p>
            <w:pPr>
              <w:spacing w:after="0"/>
              <w:rPr>
                <w:sz w:val="17"/>
                <w:szCs w:val="17"/>
                <w:color w:val="auto"/>
              </w:rPr>
            </w:pPr>
          </w:p>
        </w:tc>
        <w:tc>
          <w:tcPr>
            <w:tcW w:w="700" w:type="dxa"/>
            <w:vAlign w:val="bottom"/>
            <w:gridSpan w:val="22"/>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10.34 #</w:t>
            </w:r>
          </w:p>
        </w:tc>
        <w:tc>
          <w:tcPr>
            <w:tcW w:w="4600" w:type="dxa"/>
            <w:vAlign w:val="bottom"/>
            <w:tcBorders>
              <w:bottom w:val="single" w:sz="8" w:color="0000EE"/>
            </w:tcBorders>
            <w:gridSpan w:val="46"/>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Non-Employee Director Compensation Program, effective as of</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9,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71">
              <w:r>
                <w:rPr>
                  <w:rFonts w:ascii="Times New Roman" w:cs="Times New Roman" w:eastAsia="Times New Roman" w:hAnsi="Times New Roman"/>
                  <w:sz w:val="18"/>
                  <w:szCs w:val="18"/>
                  <w:color w:val="0000EE"/>
                  <w:w w:val="97"/>
                </w:rPr>
                <w:t>April 1, 2022</w:t>
              </w:r>
            </w:hyperlink>
          </w:p>
        </w:tc>
        <w:tc>
          <w:tcPr>
            <w:tcW w:w="3600" w:type="dxa"/>
            <w:vAlign w:val="bottom"/>
            <w:gridSpan w:val="4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10.35 #</w:t>
            </w:r>
          </w:p>
        </w:tc>
        <w:tc>
          <w:tcPr>
            <w:tcW w:w="4600" w:type="dxa"/>
            <w:vAlign w:val="bottom"/>
            <w:tcBorders>
              <w:bottom w:val="single" w:sz="8" w:color="0000EE"/>
            </w:tcBorders>
            <w:gridSpan w:val="46"/>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Non-Employee Director Compensation Program, effective as of</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172">
              <w:r>
                <w:rPr>
                  <w:rFonts w:ascii="Times New Roman" w:cs="Times New Roman" w:eastAsia="Times New Roman" w:hAnsi="Times New Roman"/>
                  <w:sz w:val="18"/>
                  <w:szCs w:val="18"/>
                  <w:color w:val="0000EE"/>
                  <w:w w:val="97"/>
                </w:rPr>
                <w:t>April 1, 2024</w:t>
              </w:r>
            </w:hyperlink>
          </w:p>
        </w:tc>
        <w:tc>
          <w:tcPr>
            <w:tcW w:w="3600" w:type="dxa"/>
            <w:vAlign w:val="bottom"/>
            <w:gridSpan w:val="4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10.36 +</w:t>
            </w:r>
          </w:p>
        </w:tc>
        <w:tc>
          <w:tcPr>
            <w:tcW w:w="456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Pre-Challenge Study Services Agreement dated June 29, 2022,</w:t>
              </w:r>
            </w:hyperlink>
          </w:p>
        </w:tc>
        <w:tc>
          <w:tcPr>
            <w:tcW w:w="160" w:type="dxa"/>
            <w:vAlign w:val="bottom"/>
            <w:gridSpan w:val="7"/>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between the Company and hVIVO Services Limited</w:t>
              </w:r>
            </w:hyperlink>
          </w:p>
        </w:tc>
        <w:tc>
          <w:tcPr>
            <w:tcW w:w="960" w:type="dxa"/>
            <w:vAlign w:val="bottom"/>
            <w:gridSpan w:val="2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10.37 #</w:t>
            </w:r>
          </w:p>
        </w:tc>
        <w:tc>
          <w:tcPr>
            <w:tcW w:w="1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2019 Equity Incentive Plan</w:t>
              </w:r>
            </w:hyperlink>
          </w:p>
        </w:tc>
        <w:tc>
          <w:tcPr>
            <w:tcW w:w="2760" w:type="dxa"/>
            <w:vAlign w:val="bottom"/>
            <w:gridSpan w:val="39"/>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10.38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2022 Employee Stock Purchase Plan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June 13,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10.39 #</w:t>
            </w:r>
          </w:p>
        </w:tc>
        <w:tc>
          <w:tcPr>
            <w:tcW w:w="41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Offer Letter, dated December 5, 2022, by and between the</w:t>
              </w:r>
            </w:hyperlink>
          </w:p>
        </w:tc>
        <w:tc>
          <w:tcPr>
            <w:tcW w:w="540" w:type="dxa"/>
            <w:vAlign w:val="bottom"/>
            <w:gridSpan w:val="18"/>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15,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76">
              <w:r>
                <w:rPr>
                  <w:rFonts w:ascii="Times New Roman" w:cs="Times New Roman" w:eastAsia="Times New Roman" w:hAnsi="Times New Roman"/>
                  <w:sz w:val="18"/>
                  <w:szCs w:val="18"/>
                  <w:color w:val="0000EE"/>
                  <w:w w:val="98"/>
                </w:rPr>
                <w:t>Company and Phillip Lee</w:t>
              </w:r>
            </w:hyperlink>
          </w:p>
        </w:tc>
        <w:tc>
          <w:tcPr>
            <w:tcW w:w="2880" w:type="dxa"/>
            <w:vAlign w:val="bottom"/>
            <w:gridSpan w:val="4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10.40 #</w:t>
            </w:r>
          </w:p>
        </w:tc>
        <w:tc>
          <w:tcPr>
            <w:tcW w:w="448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Amendment to Letter Agreement dated May 2, 2023, between</w:t>
              </w:r>
            </w:hyperlink>
          </w:p>
        </w:tc>
        <w:tc>
          <w:tcPr>
            <w:tcW w:w="240" w:type="dxa"/>
            <w:vAlign w:val="bottom"/>
            <w:gridSpan w:val="9"/>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Andrei Floroiu and Vaxart, Inc.</w:t>
              </w:r>
            </w:hyperlink>
          </w:p>
        </w:tc>
        <w:tc>
          <w:tcPr>
            <w:tcW w:w="2460" w:type="dxa"/>
            <w:vAlign w:val="bottom"/>
            <w:gridSpan w:val="3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10.41 #</w:t>
            </w:r>
          </w:p>
        </w:tc>
        <w:tc>
          <w:tcPr>
            <w:tcW w:w="438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Amendment to the Vaxart, Inc. Severance Benefit Plan dated</w:t>
              </w:r>
            </w:hyperlink>
          </w:p>
        </w:tc>
        <w:tc>
          <w:tcPr>
            <w:tcW w:w="340" w:type="dxa"/>
            <w:vAlign w:val="bottom"/>
            <w:gridSpan w:val="12"/>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May 2, 2023</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10.42 #</w:t>
            </w:r>
          </w:p>
        </w:tc>
        <w:tc>
          <w:tcPr>
            <w:tcW w:w="4600" w:type="dxa"/>
            <w:vAlign w:val="bottom"/>
            <w:tcBorders>
              <w:bottom w:val="single" w:sz="8" w:color="0000EE"/>
            </w:tcBorders>
            <w:gridSpan w:val="4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Letter Agreement, dated January 16, 2024, between Vaxart, Inc.</w:t>
              </w:r>
            </w:hyperlink>
          </w:p>
        </w:tc>
        <w:tc>
          <w:tcPr>
            <w:tcW w:w="120" w:type="dxa"/>
            <w:vAlign w:val="bottom"/>
            <w:gridSpan w:val="5"/>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January 16,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and Michael J. Finney</w:t>
              </w:r>
            </w:hyperlink>
          </w:p>
        </w:tc>
        <w:tc>
          <w:tcPr>
            <w:tcW w:w="3120" w:type="dxa"/>
            <w:vAlign w:val="bottom"/>
            <w:gridSpan w:val="42"/>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ASPR-BARDA Award/Contract, dated January 12, 2024,</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10.59</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13,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between Vaxart, Inc. and the U.S. Government through the</w:t>
              </w:r>
            </w:hyperlink>
          </w:p>
        </w:tc>
        <w:tc>
          <w:tcPr>
            <w:tcW w:w="500" w:type="dxa"/>
            <w:vAlign w:val="bottom"/>
            <w:gridSpan w:val="17"/>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Department of Health and Human Services</w:t>
              </w:r>
            </w:hyperlink>
          </w:p>
        </w:tc>
        <w:tc>
          <w:tcPr>
            <w:tcW w:w="1620" w:type="dxa"/>
            <w:vAlign w:val="bottom"/>
            <w:gridSpan w:val="28"/>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4580" w:type="dxa"/>
            <w:vAlign w:val="bottom"/>
            <w:tcBorders>
              <w:bottom w:val="single" w:sz="8" w:color="0000EE"/>
            </w:tcBorders>
            <w:gridSpan w:val="45"/>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Securities Purchase Agreement, dated January 16, 2024, by and</w:t>
              </w:r>
            </w:hyperlink>
          </w:p>
        </w:tc>
        <w:tc>
          <w:tcPr>
            <w:tcW w:w="140" w:type="dxa"/>
            <w:vAlign w:val="bottom"/>
            <w:gridSpan w:val="6"/>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January 16,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between Vaxart, Inc. and RA Capital Healthcare Fund, L.P.</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10.45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Separation Agreement, dated January 31, 2024, by and between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February 2,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0000EE"/>
            </w:tcBorders>
            <w:gridSpan w:val="4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the Company and Andrei Floroiu</w:t>
              </w:r>
            </w:hyperlink>
          </w:p>
        </w:tc>
        <w:tc>
          <w:tcPr>
            <w:tcW w:w="14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10.46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Vaxart, Inc. 2024 Inducement Award Plan</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10.47 #</w:t>
            </w:r>
          </w:p>
        </w:tc>
        <w:tc>
          <w:tcPr>
            <w:tcW w:w="450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Form of Restricted Stock Unit Award Grant Notice and Award</w:t>
              </w:r>
            </w:hyperlink>
          </w:p>
        </w:tc>
        <w:tc>
          <w:tcPr>
            <w:tcW w:w="220" w:type="dxa"/>
            <w:vAlign w:val="bottom"/>
            <w:gridSpan w:val="8"/>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84">
              <w:r>
                <w:rPr>
                  <w:rFonts w:ascii="Times New Roman" w:cs="Times New Roman" w:eastAsia="Times New Roman" w:hAnsi="Times New Roman"/>
                  <w:sz w:val="18"/>
                  <w:szCs w:val="18"/>
                  <w:color w:val="0000EE"/>
                  <w:w w:val="97"/>
                </w:rPr>
                <w:t>Agreement</w:t>
              </w:r>
            </w:hyperlink>
          </w:p>
        </w:tc>
        <w:tc>
          <w:tcPr>
            <w:tcW w:w="3920" w:type="dxa"/>
            <w:vAlign w:val="bottom"/>
            <w:gridSpan w:val="46"/>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10.48 #</w:t>
            </w:r>
          </w:p>
        </w:tc>
        <w:tc>
          <w:tcPr>
            <w:tcW w:w="472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Form of Stock Option Grant Notice and Stock Option Agreement</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10.49 #</w:t>
            </w:r>
          </w:p>
        </w:tc>
        <w:tc>
          <w:tcPr>
            <w:tcW w:w="39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Letter Agreement, between Vaxart, Inc. and Steven Lo</w:t>
              </w:r>
            </w:hyperlink>
          </w:p>
        </w:tc>
        <w:tc>
          <w:tcPr>
            <w:tcW w:w="800" w:type="dxa"/>
            <w:vAlign w:val="bottom"/>
            <w:gridSpan w:val="24"/>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March 6, 2024</w:t>
            </w: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10.50 ^</w:t>
            </w:r>
          </w:p>
        </w:tc>
        <w:tc>
          <w:tcPr>
            <w:tcW w:w="470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ATI-RRPV Base Agreement, dated May 6, 2024, between Vaxart</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0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Biosciences Inc. and Advanced Technology International (RRPV</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Consortium Management Firm)</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10.51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ATI-RRPV Project Award Agreement No. 001, dated June 13,</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August 8,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2024, between Vaxart Biosciences Inc. and Advanced</w:t>
              </w:r>
            </w:hyperlink>
          </w:p>
        </w:tc>
        <w:tc>
          <w:tcPr>
            <w:tcW w:w="600" w:type="dxa"/>
            <w:vAlign w:val="bottom"/>
            <w:tcBorders>
              <w:top w:val="single" w:sz="8" w:color="0000EE"/>
            </w:tcBorders>
            <w:gridSpan w:val="15"/>
          </w:tcPr>
          <w:p>
            <w:pPr>
              <w:spacing w:after="0"/>
              <w:rPr>
                <w:sz w:val="17"/>
                <w:szCs w:val="17"/>
                <w:color w:val="auto"/>
              </w:rPr>
            </w:pPr>
          </w:p>
        </w:tc>
        <w:tc>
          <w:tcPr>
            <w:tcW w:w="260" w:type="dxa"/>
            <w:vAlign w:val="bottom"/>
            <w:gridSpan w:val="10"/>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Technology International (RRPV Consortium Management Firm)</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10.52 ^</w:t>
            </w:r>
          </w:p>
        </w:tc>
        <w:tc>
          <w:tcPr>
            <w:tcW w:w="470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Modification No. 3, dated September 27, 2024, to the ATI-RRPV</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November 13,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Project Award Agreement No. 001, dated June 13, 2024, between</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Vaxart Biosciences Inc. and Advanced Technology International</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(RRPV Consortium Management Firm)</w:t>
              </w:r>
            </w:hyperlink>
          </w:p>
        </w:tc>
        <w:tc>
          <w:tcPr>
            <w:tcW w:w="1740" w:type="dxa"/>
            <w:vAlign w:val="bottom"/>
            <w:tcBorders>
              <w:top w:val="single" w:sz="8" w:color="0000EE"/>
            </w:tcBorders>
            <w:gridSpan w:val="26"/>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10.53 *^</w:t>
            </w:r>
          </w:p>
        </w:tc>
        <w:tc>
          <w:tcPr>
            <w:tcW w:w="4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Modification No. 4, dated December 20, 2024, to the ATI-RRPV</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51"/>
          </w:tcPr>
          <w:p>
            <w:pPr>
              <w:spacing w:after="0" w:line="196" w:lineRule="exact"/>
              <w:rPr>
                <w:sz w:val="20"/>
                <w:szCs w:val="20"/>
                <w:color w:val="auto"/>
              </w:rPr>
            </w:pPr>
            <w:r>
              <w:rPr>
                <w:rFonts w:ascii="Times New Roman" w:cs="Times New Roman" w:eastAsia="Times New Roman" w:hAnsi="Times New Roman"/>
                <w:sz w:val="18"/>
                <w:szCs w:val="18"/>
                <w:color w:val="0000EE"/>
                <w:w w:val="99"/>
              </w:rPr>
              <w:t>Project Award Agreement No. 001, dated June 13, 2024, between</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Vaxart Biosciences Inc. and Advanced Technology International</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(RRPV Consortium Management Firm)</w:t>
            </w:r>
          </w:p>
        </w:tc>
        <w:tc>
          <w:tcPr>
            <w:tcW w:w="1740" w:type="dxa"/>
            <w:vAlign w:val="bottom"/>
            <w:tcBorders>
              <w:top w:val="single" w:sz="8" w:color="0000EE"/>
            </w:tcBorders>
            <w:gridSpan w:val="26"/>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10.54 ^</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Modification No. 5, dated February 7, 2025, to the ATI-RRPV</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5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Project Award Agreement No. 001, dated June 13, 2024, between</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Vaxart Biosciences Inc. and Advanced Technology International</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(RRPV Consortium Management Firm)</w:t>
              </w:r>
            </w:hyperlink>
          </w:p>
        </w:tc>
        <w:tc>
          <w:tcPr>
            <w:tcW w:w="1760" w:type="dxa"/>
            <w:vAlign w:val="bottom"/>
            <w:tcBorders>
              <w:top w:val="single" w:sz="8" w:color="0000EE"/>
            </w:tcBorders>
            <w:gridSpan w:val="27"/>
          </w:tcPr>
          <w:p>
            <w:pPr>
              <w:spacing w:after="0"/>
              <w:rPr>
                <w:sz w:val="17"/>
                <w:szCs w:val="17"/>
                <w:color w:val="auto"/>
              </w:rPr>
            </w:pPr>
          </w:p>
        </w:tc>
        <w:tc>
          <w:tcPr>
            <w:tcW w:w="100" w:type="dxa"/>
            <w:vAlign w:val="bottom"/>
            <w:gridSpan w:val="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Code of Conduct</w:t>
              </w:r>
            </w:hyperlink>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14.1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May 4,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19.1 *</w:t>
            </w:r>
          </w:p>
        </w:tc>
        <w:tc>
          <w:tcPr>
            <w:tcW w:w="470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Insider Trading and Securities Law Compliance Policy of Vaxart,</w:t>
              </w:r>
            </w:hyperlink>
          </w:p>
        </w:tc>
        <w:tc>
          <w:tcPr>
            <w:tcW w:w="20" w:type="dxa"/>
            <w:vAlign w:val="bottom"/>
          </w:tcPr>
          <w:p>
            <w:pPr>
              <w:spacing w:after="0"/>
              <w:rPr>
                <w:sz w:val="17"/>
                <w:szCs w:val="17"/>
                <w:color w:val="auto"/>
              </w:rPr>
            </w:pPr>
          </w:p>
        </w:tc>
        <w:tc>
          <w:tcPr>
            <w:tcW w:w="15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001-35285</w:t>
            </w:r>
          </w:p>
        </w:tc>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19.1</w:t>
            </w:r>
          </w:p>
        </w:tc>
        <w:tc>
          <w:tcPr>
            <w:tcW w:w="172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March 14, 2024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Inc., last amended as of March 12, 2024</w:t>
              </w:r>
            </w:hyperlink>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21.1 *</w:t>
            </w:r>
          </w:p>
        </w:tc>
        <w:tc>
          <w:tcPr>
            <w:tcW w:w="21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Subsidiaries of the Registrant</w:t>
            </w:r>
          </w:p>
        </w:tc>
        <w:tc>
          <w:tcPr>
            <w:tcW w:w="760" w:type="dxa"/>
            <w:vAlign w:val="bottom"/>
            <w:tcBorders>
              <w:top w:val="single" w:sz="8" w:color="0000EE"/>
            </w:tcBorders>
            <w:gridSpan w:val="8"/>
          </w:tcPr>
          <w:p>
            <w:pPr>
              <w:spacing w:after="0"/>
              <w:rPr>
                <w:sz w:val="17"/>
                <w:szCs w:val="17"/>
                <w:color w:val="auto"/>
              </w:rPr>
            </w:pPr>
          </w:p>
        </w:tc>
        <w:tc>
          <w:tcPr>
            <w:tcW w:w="1840" w:type="dxa"/>
            <w:vAlign w:val="bottom"/>
            <w:gridSpan w:val="30"/>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23.1 *</w:t>
            </w:r>
          </w:p>
        </w:tc>
        <w:tc>
          <w:tcPr>
            <w:tcW w:w="4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Consent of WithumSmith+Brown, PC, Independent Registered</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7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Public Accounting Firm</w:t>
            </w:r>
          </w:p>
        </w:tc>
        <w:tc>
          <w:tcPr>
            <w:tcW w:w="2660" w:type="dxa"/>
            <w:vAlign w:val="bottom"/>
            <w:tcBorders>
              <w:top w:val="single" w:sz="8" w:color="0000EE"/>
            </w:tcBorders>
            <w:gridSpan w:val="33"/>
          </w:tcPr>
          <w:p>
            <w:pPr>
              <w:spacing w:after="0"/>
              <w:rPr>
                <w:sz w:val="17"/>
                <w:szCs w:val="17"/>
                <w:color w:val="auto"/>
              </w:rPr>
            </w:pPr>
          </w:p>
        </w:tc>
        <w:tc>
          <w:tcPr>
            <w:tcW w:w="160" w:type="dxa"/>
            <w:vAlign w:val="bottom"/>
            <w:gridSpan w:val="7"/>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24.1 *</w:t>
            </w:r>
          </w:p>
        </w:tc>
        <w:tc>
          <w:tcPr>
            <w:tcW w:w="428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Reference is made to the signature page</w:t>
            </w:r>
          </w:p>
        </w:tc>
        <w:tc>
          <w:tcPr>
            <w:tcW w:w="440" w:type="dxa"/>
            <w:vAlign w:val="bottom"/>
            <w:gridSpan w:val="14"/>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hereto</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120" w:type="dxa"/>
            <w:vAlign w:val="bottom"/>
            <w:gridSpan w:val="2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472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Rule, 13a-14(a) and 15d-14(a), as adopted</w:t>
            </w:r>
          </w:p>
        </w:tc>
        <w:tc>
          <w:tcPr>
            <w:tcW w:w="460" w:type="dxa"/>
            <w:vAlign w:val="bottom"/>
            <w:gridSpan w:val="15"/>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280" w:type="dxa"/>
            <w:vAlign w:val="bottom"/>
            <w:gridSpan w:val="11"/>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31.2 *</w:t>
            </w:r>
          </w:p>
        </w:tc>
        <w:tc>
          <w:tcPr>
            <w:tcW w:w="4680" w:type="dxa"/>
            <w:vAlign w:val="bottom"/>
            <w:tcBorders>
              <w:bottom w:val="single" w:sz="8" w:color="0000EE"/>
            </w:tcBorders>
            <w:gridSpan w:val="4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Exchange</w:t>
            </w:r>
          </w:p>
        </w:tc>
        <w:tc>
          <w:tcPr>
            <w:tcW w:w="40" w:type="dxa"/>
            <w:vAlign w:val="bottom"/>
            <w:gridSpan w:val="2"/>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9"/>
              </w:rPr>
              <w:t>Act Rule, 13a-14(a) and 15d-14(a), as adopted pursuant to</w:t>
            </w:r>
          </w:p>
        </w:tc>
        <w:tc>
          <w:tcPr>
            <w:tcW w:w="360" w:type="dxa"/>
            <w:vAlign w:val="bottom"/>
            <w:gridSpan w:val="13"/>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0" w:type="dxa"/>
            <w:vAlign w:val="bottom"/>
            <w:gridSpan w:val="23"/>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32.1 §</w:t>
            </w:r>
          </w:p>
        </w:tc>
        <w:tc>
          <w:tcPr>
            <w:tcW w:w="414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and Financial Officer</w:t>
            </w:r>
          </w:p>
        </w:tc>
        <w:tc>
          <w:tcPr>
            <w:tcW w:w="580" w:type="dxa"/>
            <w:vAlign w:val="bottom"/>
            <w:gridSpan w:val="19"/>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13a-14(b) of the Securities Exchange Act of</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Borders>
              <w:right w:val="single" w:sz="8" w:color="0000EE"/>
            </w:tcBorders>
            <w:gridSpan w:val="41"/>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1934, as amended, and 18 U.S.C. Section 1350, as adopted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pursuant to Section 906 of the Sarbanes-Oxley Act of 2002</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59"/>
          </w:cols>
          <w:pgMar w:left="1400" w:top="121" w:right="1440"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56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Borders>
              <w:top w:val="single" w:sz="8" w:color="0000EE"/>
              <w:bottom w:val="single" w:sz="8" w:color="0000EE"/>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8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4800" w:type="dxa"/>
            <w:vAlign w:val="bottom"/>
            <w:gridSpan w:val="6"/>
          </w:tcPr>
          <w:p>
            <w:pPr>
              <w:ind w:left="80"/>
              <w:spacing w:after="0" w:line="169"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Vaxart, Inc. Compensation Recovery Policy as adopted as of</w:t>
              </w:r>
            </w:hyperlink>
          </w:p>
        </w:tc>
        <w:tc>
          <w:tcPr>
            <w:tcW w:w="15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001-35285</w:t>
            </w:r>
          </w:p>
        </w:tc>
        <w:tc>
          <w:tcPr>
            <w:tcW w:w="122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16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March 14, 2024</w:t>
            </w:r>
          </w:p>
        </w:tc>
        <w:tc>
          <w:tcPr>
            <w:tcW w:w="0" w:type="dxa"/>
            <w:vAlign w:val="bottom"/>
          </w:tcPr>
          <w:p>
            <w:pPr>
              <w:spacing w:after="0"/>
              <w:rPr>
                <w:sz w:val="1"/>
                <w:szCs w:val="1"/>
                <w:color w:val="auto"/>
              </w:rPr>
            </w:pPr>
          </w:p>
        </w:tc>
      </w:tr>
      <w:tr>
        <w:trPr>
          <w:trHeight w:val="196"/>
        </w:trPr>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97.1 *</w:t>
            </w:r>
          </w:p>
        </w:tc>
        <w:tc>
          <w:tcPr>
            <w:tcW w:w="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94">
              <w:r>
                <w:rPr>
                  <w:rFonts w:ascii="Times New Roman" w:cs="Times New Roman" w:eastAsia="Times New Roman" w:hAnsi="Times New Roman"/>
                  <w:sz w:val="18"/>
                  <w:szCs w:val="18"/>
                  <w:color w:val="0000EE"/>
                  <w:w w:val="97"/>
                </w:rPr>
                <w:t>October 2, 2023</w:t>
              </w:r>
            </w:hyperlink>
          </w:p>
        </w:tc>
        <w:tc>
          <w:tcPr>
            <w:tcW w:w="3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 * Inline XBRL Instance Document - the instance document does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not appear in the Interactive Data File as its XBRL tags are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embedded within the Inline XBRL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 * Inline XBRL Taxonomy Extension Schema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 * Inline XBRL Taxonomy Extension Calculation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 * Inline XBRL Taxonomy Extension Definition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 * Inline XBRL Taxonomy Extension Label Linkbase Document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101.PRE * Inline XBRL Taxonomy Extension Presentation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Linkbase Document</w:t>
      </w:r>
    </w:p>
    <w:p>
      <w:pPr>
        <w:spacing w:after="0" w:line="9" w:lineRule="exact"/>
        <w:rPr>
          <w:sz w:val="20"/>
          <w:szCs w:val="20"/>
          <w:color w:val="auto"/>
        </w:rPr>
      </w:pPr>
    </w:p>
    <w:p>
      <w:pPr>
        <w:ind w:left="1080" w:right="5640" w:hanging="755"/>
        <w:spacing w:after="0" w:line="260" w:lineRule="auto"/>
        <w:tabs>
          <w:tab w:leader="none" w:pos="9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3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12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contract or compensation plan or arrangement</w:t>
      </w:r>
    </w:p>
    <w:p>
      <w:pPr>
        <w:spacing w:after="0" w:line="225" w:lineRule="exact"/>
        <w:rPr>
          <w:sz w:val="20"/>
          <w:szCs w:val="20"/>
          <w:color w:val="auto"/>
        </w:rPr>
      </w:pPr>
    </w:p>
    <w:p>
      <w:pPr>
        <w:ind w:left="500" w:right="240" w:hanging="492"/>
        <w:spacing w:after="0" w:line="282" w:lineRule="auto"/>
        <w:tabs>
          <w:tab w:leader="none" w:pos="5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Confidential portions of this exhibit have been omitted and filed separately with the Commission pursuant to confidential treatment granted under Rule 24b-2 promulgated under the Exchange Act</w:t>
      </w:r>
    </w:p>
    <w:p>
      <w:pPr>
        <w:spacing w:after="0" w:line="162" w:lineRule="exact"/>
        <w:rPr>
          <w:sz w:val="20"/>
          <w:szCs w:val="20"/>
          <w:color w:val="auto"/>
        </w:rPr>
      </w:pPr>
    </w:p>
    <w:p>
      <w:pPr>
        <w:ind w:left="500" w:right="40" w:hanging="492"/>
        <w:spacing w:after="0" w:line="258"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 furnished in Exhibit 32.1 hereto is deemed to accompany this Annual Report on Form 10-K and will not be deemed “filed” for purposes of Section 18 of the Exchange Act. Such certification will not be deemed to be incorporated by reference into any filing under the Securities Act or the Exchange Act, except to the extent that the registrant specifically incorporates it by reference</w:t>
      </w:r>
    </w:p>
    <w:p>
      <w:pPr>
        <w:spacing w:after="0" w:line="183" w:lineRule="exact"/>
        <w:rPr>
          <w:sz w:val="20"/>
          <w:szCs w:val="20"/>
          <w:color w:val="auto"/>
        </w:rPr>
      </w:pPr>
    </w:p>
    <w:p>
      <w:pPr>
        <w:ind w:left="500" w:right="20" w:hanging="492"/>
        <w:spacing w:after="0" w:line="234" w:lineRule="auto"/>
        <w:tabs>
          <w:tab w:leader="none" w:pos="5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Pursuant to Item 601(b)(10) of Regulation S-K, certain confidential portions of this exhibit have been omitted as (i) the Company has determined the omitted information is not material and (ii) the Company customarily and actually treats the omitted information as private or confidential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VAXART, INC.</w:t>
      </w:r>
    </w:p>
    <w:p>
      <w:pPr>
        <w:spacing w:after="0" w:line="200" w:lineRule="exact"/>
        <w:rPr>
          <w:sz w:val="20"/>
          <w:szCs w:val="20"/>
          <w:color w:val="auto"/>
        </w:rPr>
      </w:pPr>
    </w:p>
    <w:p>
      <w:pPr>
        <w:spacing w:after="0" w:line="241" w:lineRule="exact"/>
        <w:rPr>
          <w:sz w:val="20"/>
          <w:szCs w:val="20"/>
          <w:color w:val="auto"/>
        </w:rPr>
      </w:pPr>
    </w:p>
    <w:p>
      <w:pPr>
        <w:ind w:left="2700"/>
        <w:spacing w:after="0"/>
        <w:tabs>
          <w:tab w:leader="none" w:pos="3140" w:val="left"/>
        </w:tabs>
        <w:rPr>
          <w:sz w:val="20"/>
          <w:szCs w:val="20"/>
          <w:color w:val="auto"/>
        </w:rPr>
      </w:pP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2846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Steven Lo</w:t>
      </w:r>
    </w:p>
    <w:p>
      <w:pPr>
        <w:spacing w:after="0" w:line="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Steven Lo and Phillip Lee, and each of them, as his or her attorneys-in-fact,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said attorneys-in-fact, and each of them, or his or her substitute or substitutes may lawfully do or cause to be done by virtue hereof.</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w:t>
            </w:r>
          </w:p>
        </w:tc>
        <w:tc>
          <w:tcPr>
            <w:tcW w:w="280" w:type="dxa"/>
            <w:vAlign w:val="bottom"/>
          </w:tcPr>
          <w:p>
            <w:pPr>
              <w:spacing w:after="0"/>
              <w:rPr>
                <w:sz w:val="20"/>
                <w:szCs w:val="20"/>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0" w:type="dxa"/>
            <w:vAlign w:val="bottom"/>
          </w:tcPr>
          <w:p>
            <w:pPr>
              <w:spacing w:after="0"/>
              <w:rPr>
                <w:sz w:val="1"/>
                <w:szCs w:val="1"/>
                <w:color w:val="auto"/>
              </w:rPr>
            </w:pPr>
          </w:p>
        </w:tc>
      </w:tr>
      <w:tr>
        <w:trPr>
          <w:trHeight w:val="642"/>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LO</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189"/>
        </w:trPr>
        <w:tc>
          <w:tcPr>
            <w:tcW w:w="3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Steven Lo</w:t>
            </w:r>
          </w:p>
        </w:tc>
        <w:tc>
          <w:tcPr>
            <w:tcW w:w="28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PHILLIP LEE</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189"/>
        </w:trPr>
        <w:tc>
          <w:tcPr>
            <w:tcW w:w="3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Phillip Lee</w:t>
            </w:r>
          </w:p>
        </w:tc>
        <w:tc>
          <w:tcPr>
            <w:tcW w:w="28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FINNEY</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Finney, Ph.D.</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FINNEY</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Finney</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ELAINE J. HERON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Elaine J. Heron, Ph.D.</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W. MARK WATSON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 Mark Watson</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WHEADON</w:t>
            </w:r>
          </w:p>
        </w:tc>
        <w:tc>
          <w:tcPr>
            <w:tcW w:w="280" w:type="dxa"/>
            <w:vAlign w:val="bottom"/>
          </w:tcPr>
          <w:p>
            <w:pPr>
              <w:spacing w:after="0"/>
              <w:rPr>
                <w:sz w:val="24"/>
                <w:szCs w:val="24"/>
                <w:color w:val="auto"/>
              </w:rPr>
            </w:pPr>
          </w:p>
        </w:tc>
        <w:tc>
          <w:tcPr>
            <w:tcW w:w="5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0" w:type="dxa"/>
            <w:vAlign w:val="bottom"/>
          </w:tcPr>
          <w:p>
            <w:pPr>
              <w:spacing w:after="0"/>
              <w:rPr>
                <w:sz w:val="1"/>
                <w:szCs w:val="1"/>
                <w:color w:val="auto"/>
              </w:rPr>
            </w:pPr>
          </w:p>
        </w:tc>
      </w:tr>
      <w:tr>
        <w:trPr>
          <w:trHeight w:val="22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Wheadon M.D.</w:t>
            </w:r>
          </w:p>
        </w:tc>
        <w:tc>
          <w:tcPr>
            <w:tcW w:w="28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tcPr>
          <w:p>
            <w:pPr>
              <w:spacing w:after="0"/>
              <w:rPr>
                <w:sz w:val="24"/>
                <w:szCs w:val="24"/>
                <w:color w:val="auto"/>
              </w:rPr>
            </w:pPr>
          </w:p>
        </w:tc>
        <w:tc>
          <w:tcPr>
            <w:tcW w:w="540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0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of our common stock is based on the provisions of our amended and restated certificate of incorporation, as amended from time to time, and amended and restated bylaws and the applicable provisions of the Delaware General Corporation Law. This information is qualified entirely by reference to the applicable provisions of our amended and restated certificate of incorporation, our amended and restated bylaws and the Delaware General Corporation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(i) 350,000,000 shares of common stock, par value $0.0001 per share and (ii) 5,000,000 shares of preferred stock, par value $0.0001 per share.</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common stock provided for in our amended and restated certificate of incorporation, as amended from time to time, and amended and restated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entitled to one vote for each share held of record on all matters submitted to a vote of the stockholders, except that directors will be elected by a plurality of votes cast. Accordingly, the holders of a majority of the shares of common stock entitled to vote in any election of directors are able to elect all of the directors standing for election, if they so choose.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common stock are entitled to receive dividends, if any, as may be declared from time to time by our board of directors out of legally available funds. We have never paid cash dividends and have no present intention to pay cash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Charter Documents and Delaware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right="66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380" w:right="20" w:hanging="183"/>
        <w:spacing w:after="0" w:line="261"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ind w:left="380" w:right="100" w:hanging="183"/>
        <w:spacing w:after="0" w:line="250"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 w:lineRule="exact"/>
        <w:rPr>
          <w:rFonts w:ascii="Times New Roman" w:cs="Times New Roman" w:eastAsia="Times New Roman" w:hAnsi="Times New Roman"/>
          <w:sz w:val="18"/>
          <w:szCs w:val="18"/>
          <w:color w:val="auto"/>
        </w:rPr>
      </w:pPr>
    </w:p>
    <w:p>
      <w:pPr>
        <w:ind w:left="380" w:right="60" w:hanging="183"/>
        <w:spacing w:after="0" w:line="255"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380" w:hanging="183"/>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380" w:hanging="183"/>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380" w:right="320" w:hanging="183"/>
        <w:spacing w:after="0" w:line="282" w:lineRule="auto"/>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546" w:gutter="0" w:footer="0" w:header="0"/>
        </w:sectPr>
      </w:pPr>
    </w:p>
    <w:bookmarkStart w:id="141" w:name="page142"/>
    <w:bookmarkEnd w:id="141"/>
    <w:p>
      <w:pPr>
        <w:ind w:left="380" w:right="620" w:hanging="183"/>
        <w:spacing w:after="0" w:line="282"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and</w:t>
      </w:r>
    </w:p>
    <w:p>
      <w:pPr>
        <w:spacing w:after="0" w:line="161" w:lineRule="exact"/>
        <w:rPr>
          <w:rFonts w:ascii="Times New Roman" w:cs="Times New Roman" w:eastAsia="Times New Roman" w:hAnsi="Times New Roman"/>
          <w:sz w:val="18"/>
          <w:szCs w:val="18"/>
          <w:color w:val="auto"/>
        </w:rPr>
      </w:pPr>
    </w:p>
    <w:p>
      <w:pPr>
        <w:ind w:left="380" w:right="200" w:hanging="183"/>
        <w:spacing w:after="0" w:line="282" w:lineRule="auto"/>
        <w:tabs>
          <w:tab w:leader="none" w:pos="3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change-in-control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396" w:lineRule="exact"/>
        <w:rPr>
          <w:sz w:val="20"/>
          <w:szCs w:val="20"/>
          <w:color w:val="auto"/>
        </w:rPr>
      </w:pPr>
    </w:p>
    <w:p>
      <w:pPr>
        <w:ind w:left="380" w:right="420" w:hanging="183"/>
        <w:spacing w:after="0" w:line="261"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in control);</w:t>
      </w:r>
    </w:p>
    <w:p>
      <w:pPr>
        <w:ind w:left="380" w:hanging="183"/>
        <w:spacing w:after="0"/>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adopted by a majority of the board of directors;</w:t>
      </w:r>
    </w:p>
    <w:p>
      <w:pPr>
        <w:spacing w:after="0" w:line="9" w:lineRule="exact"/>
        <w:rPr>
          <w:rFonts w:ascii="Times New Roman" w:cs="Times New Roman" w:eastAsia="Times New Roman" w:hAnsi="Times New Roman"/>
          <w:sz w:val="18"/>
          <w:szCs w:val="18"/>
          <w:color w:val="auto"/>
        </w:rPr>
      </w:pPr>
    </w:p>
    <w:p>
      <w:pPr>
        <w:ind w:left="380" w:right="200" w:hanging="183"/>
        <w:spacing w:after="0" w:line="265" w:lineRule="auto"/>
        <w:tabs>
          <w:tab w:leader="none" w:pos="3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ind w:left="380" w:right="200" w:hanging="183"/>
        <w:spacing w:after="0" w:line="25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or by action taken by written consent;</w:t>
      </w:r>
    </w:p>
    <w:p>
      <w:pPr>
        <w:ind w:left="380" w:right="60" w:hanging="183"/>
        <w:spacing w:after="0" w:line="25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1" w:lineRule="exact"/>
        <w:rPr>
          <w:rFonts w:ascii="Times New Roman" w:cs="Times New Roman" w:eastAsia="Times New Roman" w:hAnsi="Times New Roman"/>
          <w:sz w:val="18"/>
          <w:szCs w:val="18"/>
          <w:color w:val="auto"/>
        </w:rPr>
      </w:pPr>
    </w:p>
    <w:p>
      <w:pPr>
        <w:ind w:left="380" w:right="80" w:hanging="183"/>
        <w:spacing w:after="0" w:line="260" w:lineRule="auto"/>
        <w:tabs>
          <w:tab w:leader="none" w:pos="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the board, the president or by our board of directors pursuant to a resolution adopted by a majority of the total number of authorized directors (whether or not there exist any vacancies).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will be the exclusive forum for enumerated types of internal corporate claims, including derivative suits, claims for breach of fiduciary duty, actions under the General Corporation Law of Delaware, amended and restated certificate of incorporation or the amended and restated bylaws, and actions under the internal affairs doctrine.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“VXRT.”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registrar’s address is 6201 15th Avenue, Brooklyn, New York 11219.</w:t>
      </w:r>
    </w:p>
    <w:p>
      <w:pPr>
        <w:sectPr>
          <w:pgSz w:w="11900" w:h="16838" w:orient="portrait"/>
          <w:cols w:equalWidth="0" w:num="1">
            <w:col w:w="11240"/>
          </w:cols>
          <w:pgMar w:left="320" w:top="1012"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10.53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Harbor Way Ste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ectPr>
          <w:pgSz w:w="11900" w:h="16838" w:orient="portrait"/>
          <w:cols w:equalWidth="0" w:num="1">
            <w:col w:w="11240"/>
          </w:cols>
          <w:pgMar w:left="320" w:top="117" w:right="339" w:bottom="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40" w:space="400"/>
            <w:col w:w="10100"/>
          </w:cols>
          <w:pgMar w:left="320" w:top="117"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Modification No. 04 to RRPV Project Award No. 01; RRPV-24-04-NGVx-003</w:t>
      </w:r>
    </w:p>
    <w:p>
      <w:pPr>
        <w:spacing w:after="0" w:line="211" w:lineRule="exact"/>
        <w:rPr>
          <w:sz w:val="20"/>
          <w:szCs w:val="20"/>
          <w:color w:val="auto"/>
        </w:rPr>
      </w:pPr>
    </w:p>
    <w:p>
      <w:pPr>
        <w:sectPr>
          <w:pgSz w:w="11900" w:h="16838" w:orient="portrait"/>
          <w:cols w:equalWidth="0" w:num="2">
            <w:col w:w="600" w:space="400"/>
            <w:col w:w="10240"/>
          </w:cols>
          <w:pgMar w:left="320" w:top="117"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RRPV Base Agreement No. 2024-606</w:t>
      </w:r>
    </w:p>
    <w:p>
      <w:pPr>
        <w:spacing w:after="0" w:line="211" w:lineRule="exact"/>
        <w:rPr>
          <w:sz w:val="20"/>
          <w:szCs w:val="20"/>
          <w:color w:val="auto"/>
        </w:rPr>
      </w:pPr>
    </w:p>
    <w:p>
      <w:pPr>
        <w:sectPr>
          <w:pgSz w:w="11900" w:h="16838" w:orient="portrait"/>
          <w:cols w:equalWidth="0" w:num="2">
            <w:col w:w="780" w:space="420"/>
            <w:col w:w="10040"/>
          </w:cols>
          <w:pgMar w:left="320" w:top="117"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t>
      </w:r>
    </w:p>
    <w:p>
      <w:pPr>
        <w:sectPr>
          <w:pgSz w:w="11900" w:h="16838" w:orient="portrait"/>
          <w:cols w:equalWidth="0" w:num="1">
            <w:col w:w="11240"/>
          </w:cols>
          <w:pgMar w:left="320" w:top="117" w:right="339" w:bottom="0" w:gutter="0" w:footer="0" w:header="0"/>
          <w:type w:val="continuous"/>
        </w:sect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terms and conditions of the referenced RRPV Base Agreement, Modification No. 04 hereby amends the Project Award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MODIFICATION</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Project Agreement Ceiling clause of the Project Award is hereby amended to read as indicated in bold below:</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PROJECT AGREEMENT CEILING</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total estimated ceiling for this Project Awardee is </w:t>
      </w:r>
      <w:r>
        <w:rPr>
          <w:rFonts w:ascii="Times New Roman" w:cs="Times New Roman" w:eastAsia="Times New Roman" w:hAnsi="Times New Roman"/>
          <w:sz w:val="18"/>
          <w:szCs w:val="18"/>
          <w:b w:val="1"/>
          <w:bCs w:val="1"/>
          <w:u w:val="single" w:color="auto"/>
          <w:color w:val="auto"/>
        </w:rPr>
        <w:t>$460,697,900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is an increase of $4,578,621)</w:t>
      </w:r>
      <w:r>
        <w:rPr>
          <w:rFonts w:ascii="Times New Roman" w:cs="Times New Roman" w:eastAsia="Times New Roman" w:hAnsi="Times New Roman"/>
          <w:sz w:val="18"/>
          <w:szCs w:val="18"/>
          <w:color w:val="auto"/>
        </w:rPr>
        <w:t xml:space="preserve"> broken out as 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Firm Fixed Price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fixed amount for the services to be provided by the Project Awardee are as follows:</w:t>
      </w:r>
    </w:p>
    <w:p>
      <w:pPr>
        <w:sectPr>
          <w:pgSz w:w="11900" w:h="16838" w:orient="portrait"/>
          <w:cols w:equalWidth="0" w:num="1">
            <w:col w:w="11240"/>
          </w:cols>
          <w:pgMar w:left="320" w:top="117" w:right="339" w:bottom="0" w:gutter="0" w:footer="0" w:header="0"/>
          <w:type w:val="continuous"/>
        </w:sectPr>
      </w:pP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Fixed Amount (Milestone 2 Only)</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Fixed Amount (CMC / KP.2 Manufacturing)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4600" w:space="720"/>
            <w:col w:w="5920"/>
          </w:cols>
          <w:pgMar w:left="320" w:top="117" w:right="339" w:bottom="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b w:val="1"/>
          <w:bCs w:val="1"/>
          <w:color w:val="auto"/>
        </w:rPr>
        <w:t>Total Fixed Cost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200" w:space="720"/>
            <w:col w:w="6320"/>
          </w:cols>
          <w:pgMar w:left="320" w:top="117" w:right="339" w:bottom="0" w:gutter="0" w:footer="0" w:header="0"/>
          <w:type w:val="continuous"/>
        </w:sect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Estimated Expenditure and Fixed Fee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estimated expenditure and fixed fee for the services to be provided by the Project Awardee are as follows: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u w:val="single" w:color="auto"/>
          <w:color w:val="auto"/>
        </w:rPr>
        <w:t>ESTIMATED EXPENDITURE</w:t>
      </w:r>
    </w:p>
    <w:p>
      <w:pPr>
        <w:spacing w:after="0" w:line="203" w:lineRule="exact"/>
        <w:rPr>
          <w:sz w:val="20"/>
          <w:szCs w:val="20"/>
          <w:color w:val="auto"/>
        </w:rPr>
      </w:pPr>
    </w:p>
    <w:p>
      <w:pPr>
        <w:ind w:left="660"/>
        <w:spacing w:after="0"/>
        <w:tabs>
          <w:tab w:leader="none" w:pos="3940" w:val="left"/>
        </w:tabs>
        <w:rPr>
          <w:sz w:val="20"/>
          <w:szCs w:val="20"/>
          <w:color w:val="auto"/>
        </w:rPr>
      </w:pPr>
      <w:r>
        <w:rPr>
          <w:rFonts w:ascii="Times New Roman" w:cs="Times New Roman" w:eastAsia="Times New Roman" w:hAnsi="Times New Roman"/>
          <w:sz w:val="18"/>
          <w:szCs w:val="18"/>
          <w:color w:val="auto"/>
        </w:rPr>
        <w:t>Estimated Expenditure</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(this is an increase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31" w:lineRule="exact"/>
        <w:rPr>
          <w:sz w:val="20"/>
          <w:szCs w:val="20"/>
          <w:color w:val="auto"/>
        </w:rPr>
      </w:pPr>
    </w:p>
    <w:p>
      <w:pPr>
        <w:ind w:left="660"/>
        <w:spacing w:after="0"/>
        <w:tabs>
          <w:tab w:leader="none" w:pos="3380" w:val="left"/>
        </w:tabs>
        <w:rPr>
          <w:sz w:val="20"/>
          <w:szCs w:val="20"/>
          <w:color w:val="auto"/>
        </w:rPr>
      </w:pPr>
      <w:r>
        <w:rPr>
          <w:rFonts w:ascii="Times New Roman" w:cs="Times New Roman" w:eastAsia="Times New Roman" w:hAnsi="Times New Roman"/>
          <w:sz w:val="18"/>
          <w:szCs w:val="18"/>
          <w:color w:val="auto"/>
        </w:rPr>
        <w:t>Fixed Fee</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(this is an increase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9" w:lineRule="exact"/>
        <w:rPr>
          <w:sz w:val="20"/>
          <w:szCs w:val="20"/>
          <w:color w:val="auto"/>
        </w:rPr>
      </w:pPr>
    </w:p>
    <w:p>
      <w:pPr>
        <w:ind w:left="660"/>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Total Expenditure and Fixed Fee Cost</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(this is an increase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03"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color w:val="auto"/>
        </w:rPr>
        <w:t xml:space="preserve">The United States Government (USG) and Vaxart agree that the current award amount will be </w:t>
      </w:r>
      <w:r>
        <w:rPr>
          <w:rFonts w:ascii="Times New Roman" w:cs="Times New Roman" w:eastAsia="Times New Roman" w:hAnsi="Times New Roman"/>
          <w:sz w:val="18"/>
          <w:szCs w:val="18"/>
          <w:b w:val="1"/>
          <w:bCs w:val="1"/>
          <w:color w:val="auto"/>
        </w:rPr>
        <w:t>$460,697,900</w:t>
      </w:r>
      <w:r>
        <w:rPr>
          <w:rFonts w:ascii="Times New Roman" w:cs="Times New Roman" w:eastAsia="Times New Roman" w:hAnsi="Times New Roman"/>
          <w:sz w:val="18"/>
          <w:szCs w:val="18"/>
          <w:color w:val="auto"/>
        </w:rPr>
        <w:t xml:space="preserve">. Billable costs for the duration of the agreement will not exceed the total amount of </w:t>
      </w:r>
      <w:r>
        <w:rPr>
          <w:rFonts w:ascii="Times New Roman" w:cs="Times New Roman" w:eastAsia="Times New Roman" w:hAnsi="Times New Roman"/>
          <w:sz w:val="18"/>
          <w:szCs w:val="18"/>
          <w:b w:val="1"/>
          <w:bCs w:val="1"/>
          <w:color w:val="auto"/>
        </w:rPr>
        <w:t>$460,697,900</w:t>
      </w:r>
      <w:r>
        <w:rPr>
          <w:rFonts w:ascii="Times New Roman" w:cs="Times New Roman" w:eastAsia="Times New Roman" w:hAnsi="Times New Roman"/>
          <w:sz w:val="18"/>
          <w:szCs w:val="18"/>
          <w:color w:val="auto"/>
        </w:rPr>
        <w:t xml:space="preserve"> as any additional effort would require additional funds from the USG. Additional funds can be requested and may be approved provided Vaxart has an acceptable technical justification. However, Vaxart acknowledges that any costs above an agreed upon contract ceiling amount of $[***], to include potential indirect rate adjustments, will be the sole responsibility of Vaxart.</w:t>
      </w:r>
    </w:p>
    <w:p>
      <w:pPr>
        <w:spacing w:after="0" w:line="176"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The Incremental Funding clause of the Project Award is hereby amended to read as indicated in bold below:</w:t>
      </w:r>
    </w:p>
    <w:p>
      <w:pPr>
        <w:spacing w:after="0" w:line="225"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Incremental Funding</w:t>
      </w:r>
    </w:p>
    <w:p>
      <w:pPr>
        <w:spacing w:after="0" w:line="31"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 xml:space="preserve">The total amount of funding currently allotted to this Project Award and available for payment is </w:t>
      </w:r>
      <w:r>
        <w:rPr>
          <w:rFonts w:ascii="Times New Roman" w:cs="Times New Roman" w:eastAsia="Times New Roman" w:hAnsi="Times New Roman"/>
          <w:sz w:val="18"/>
          <w:szCs w:val="18"/>
          <w:b w:val="1"/>
          <w:bCs w:val="1"/>
          <w:u w:val="single" w:color="auto"/>
          <w:color w:val="auto"/>
        </w:rPr>
        <w:t>$134,173,944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is an increase of $37,658,328)</w:t>
      </w:r>
      <w:r>
        <w:rPr>
          <w:rFonts w:ascii="Times New Roman" w:cs="Times New Roman" w:eastAsia="Times New Roman" w:hAnsi="Times New Roman"/>
          <w:sz w:val="18"/>
          <w:szCs w:val="18"/>
          <w:color w:val="auto"/>
        </w:rPr>
        <w:t xml:space="preserve"> for those milestones marked as authorized within the Statement of Work's Milestone Payment schedule. Any work performed in excess thereof shall be at the Project Awardee’s risk. The Project Awardee shall notify the CMF if at any time the Project Awardee has reason to believe that the costs accrued in the next [***] ([***]) days will exceed [***] percent ([***]%) of the current total authorized funding. Such notice should specify the estimate of additional funds required, along with the associated remaining tasking and timeframe. The Project Awardee is not obligated to continue performance under this Project Award (including actions under the Termination clause of the RRPV Base Agreement) or otherwise incur costs in excess of the amount identified in this clause.</w:t>
      </w:r>
    </w:p>
    <w:p>
      <w:pPr>
        <w:spacing w:after="0" w:line="18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USG shall provide initial funding for the Project Award on a firm fixed price basis at the time of award that will fund trial preparation activities (Milestone 2). When the USG and Vaxart have mutually determined that the trial shall further proceed, the USG shall provide additional funding on an expenditure-based basis during the period of performance of the Project Award to support Vaxart’s performance of the requirements set forth in the Project Award. The USG shall provide such additional funding in incremental amounts based upon Vaxart’s continued fulfillment of requirements of the Project Award commensurate with the payment terms established in the Project Award.</w:t>
      </w:r>
    </w:p>
    <w:p>
      <w:pPr>
        <w:spacing w:after="0" w:line="179"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Attachment A, Statement of Work, of the Project Award is hereby replaced in its entirety as attached herein.</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provided herein, all Terms and Conditions of the referenced RRPV Base Agreement, Project Award and preceding modifications remain unchanged and in full force and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Project Awardee is required to sign this document and return to Advanced Technology International to finalize this 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Vaxart Biosciences Inc</w:t>
            </w:r>
          </w:p>
        </w:tc>
        <w:tc>
          <w:tcPr>
            <w:tcW w:w="6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Advanced Technology International</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r>
      <w:tr>
        <w:trPr>
          <w:trHeight w:val="20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7" w:right="339" w:bottom="0" w:gutter="0" w:footer="0" w:header="0"/>
          <w:type w:val="continuous"/>
        </w:sectPr>
      </w:pPr>
    </w:p>
    <w:bookmarkStart w:id="143" w:name="page144"/>
    <w:bookmarkEnd w:id="143"/>
    <w:p>
      <w:pPr>
        <w:spacing w:after="0"/>
        <w:tabs>
          <w:tab w:leader="none" w:pos="740" w:val="left"/>
          <w:tab w:leader="none" w:pos="6640" w:val="left"/>
          <w:tab w:leader="none" w:pos="7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12/20/2024</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12/20/2024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2425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9">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17145</wp:posOffset>
            </wp:positionV>
            <wp:extent cx="24517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0">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of Work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via Modification No. 04. Attachment A is replaced in its entirety.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RPP#: </w:t>
      </w:r>
      <w:r>
        <w:rPr>
          <w:rFonts w:ascii="Times New Roman" w:cs="Times New Roman" w:eastAsia="Times New Roman" w:hAnsi="Times New Roman"/>
          <w:sz w:val="18"/>
          <w:szCs w:val="18"/>
          <w:color w:val="auto"/>
        </w:rPr>
        <w:t>24-04-NGVx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Identifier: </w:t>
      </w:r>
      <w:r>
        <w:rPr>
          <w:rFonts w:ascii="Times New Roman" w:cs="Times New Roman" w:eastAsia="Times New Roman" w:hAnsi="Times New Roman"/>
          <w:sz w:val="18"/>
          <w:szCs w:val="18"/>
          <w:color w:val="auto"/>
        </w:rPr>
        <w:t>RRPV24-04-NGVx-003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Project Title: </w:t>
      </w:r>
      <w:r>
        <w:rPr>
          <w:rFonts w:ascii="Times New Roman" w:cs="Times New Roman" w:eastAsia="Times New Roman" w:hAnsi="Times New Roman"/>
          <w:sz w:val="18"/>
          <w:szCs w:val="18"/>
          <w:color w:val="auto"/>
        </w:rPr>
        <w:t>Oral Mucosal Vaccine for SARS-CoV2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RRPV Member Organization Name: </w:t>
      </w:r>
      <w:r>
        <w:rPr>
          <w:rFonts w:ascii="Times New Roman" w:cs="Times New Roman" w:eastAsia="Times New Roman" w:hAnsi="Times New Roman"/>
          <w:sz w:val="18"/>
          <w:szCs w:val="18"/>
          <w:color w:val="auto"/>
        </w:rPr>
        <w:t>Vaxart,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Primary Place of Performance: </w:t>
      </w:r>
      <w:r>
        <w:rPr>
          <w:rFonts w:ascii="Times New Roman" w:cs="Times New Roman" w:eastAsia="Times New Roman" w:hAnsi="Times New Roman"/>
          <w:sz w:val="18"/>
          <w:szCs w:val="18"/>
          <w:color w:val="auto"/>
        </w:rPr>
        <w:t>170 Harbor Way, Suite 300, South San Francisco, CA 94080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Introduction / 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Vaxart Biosciences, Inc. (“Vaxart”) is a development-stage biotechnology company with a pipeline of biologics across multiple therapeutic classes. Vaxart's platform technology makes it possible to administer vaccines in a thermo-stable tablet form, allowing for rapid deployment in mass vaccination programs, without the large logistical requirements and significant medical waste of conventional frozen vaccines. The vaccines are designed to trigger strong mucosal IgA and T-cell responses, as well as systemic antibodies. The technology is based on a non-replicating adenoviral vector with a molecular adjuvant that enhances antigen immune responses in the human intestine, the site of tablet release.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project will compare Vaxart’s updated COVID-19 vaccine candidate to an mRNA comparator to evaluate efficacy for symptomatic and asymptomatic disease, systemic and mucosal immune induction, and adverse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Scope / Project Objective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objective of this project is to complete a phase 2b clinical trial, comparing Vaxart’s Covid-19 candidate vaccine to an approved mRNA COVID-19 vaccine. Vaxart has divided the program into two phases. Phase 1 includes the execution of a Phase 2b clinical trial comparing Vaxart’s vaccine candidate and an mRNA vaccine comparator for efficacy, immune induction, and safety. Phase 2 includes further analysis to characterize the durability of the immune responses initially characterized by tracking mucosal samples from vaccinated individuals for a year and assessing cross-reactivity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Trial Execution for Phase 2b Clinical Trial</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Vaxart shall execute a Phase 2b clinical trial in approximately 10,000 individuals comparing Vaxart’s vaccine candidate and an mRNA vaccine comparator for efficacy, immune induction, and safety. The clinical trial will begin with a sentinel cohort of 400 individuals using Vaxart’s XBB vaccine and an mRNA XBB comparator.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Vaxart will:</w:t>
      </w:r>
    </w:p>
    <w:p>
      <w:pPr>
        <w:spacing w:after="0" w:line="225" w:lineRule="exact"/>
        <w:rPr>
          <w:sz w:val="20"/>
          <w:szCs w:val="20"/>
          <w:color w:val="auto"/>
        </w:rPr>
      </w:pPr>
    </w:p>
    <w:p>
      <w:pPr>
        <w:ind w:left="440" w:right="40" w:hanging="324"/>
        <w:spacing w:after="0" w:line="261" w:lineRule="auto"/>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the Vaxart’s COVID-19 vaccine candidate compared to the currently recommended booster dose for the prevention of symptomatic, PCR confirmed COVID-19</w:t>
      </w:r>
    </w:p>
    <w:p>
      <w:pPr>
        <w:ind w:left="440" w:hanging="324"/>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safety and tolerability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humoral immunogenicity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cellular immunogenicity of Vaxart’s COVID-19 vaccine candidate</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mucosal immune responses of Vaxart’s COVID-19 vaccine candidate</w:t>
      </w:r>
    </w:p>
    <w:p>
      <w:pPr>
        <w:spacing w:after="0" w:line="9" w:lineRule="exact"/>
        <w:rPr>
          <w:rFonts w:ascii="Times New Roman" w:cs="Times New Roman" w:eastAsia="Times New Roman" w:hAnsi="Times New Roman"/>
          <w:sz w:val="18"/>
          <w:szCs w:val="18"/>
          <w:color w:val="auto"/>
        </w:rPr>
      </w:pPr>
    </w:p>
    <w:p>
      <w:pPr>
        <w:ind w:left="440" w:right="580" w:hanging="324"/>
        <w:spacing w:after="0" w:line="250" w:lineRule="auto"/>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durability of Vaxart’s COVID-19 vaccine candidate compared to the currently recommended booster dose for the prevention of symptomatic, PCR confirmed COVID-19</w:t>
      </w:r>
    </w:p>
    <w:p>
      <w:pPr>
        <w:ind w:left="440" w:right="120" w:hanging="324"/>
        <w:spacing w:after="0" w:line="250" w:lineRule="auto"/>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Vaxart’s COVID-19 vaccine candidate compared to the currently recommended booster dose for the prevention of asymptomatic, PCR confirmed COVID-19</w:t>
      </w:r>
    </w:p>
    <w:p>
      <w:pPr>
        <w:ind w:left="440" w:right="120" w:hanging="324"/>
        <w:spacing w:after="0" w:line="250" w:lineRule="auto"/>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relative efficacy of Vaxart’s COVID-19 vaccine candidate compared to the currently recommended booster dose for the prevention of severe PCR confirmed COVID-19</w:t>
      </w:r>
    </w:p>
    <w:p>
      <w:pPr>
        <w:ind w:left="440" w:hanging="324"/>
        <w:spacing w:after="0"/>
        <w:tabs>
          <w:tab w:leader="none" w:pos="4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subanalyses and Correlates of Protection analyses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Concurrently, Vaxart will manufacture new KP.2 lots to support a 10,000 subject follow-on trial as described under Task Area 5 (1.5), CMC,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Additional Characterization of Immune Responses</w:t>
      </w:r>
    </w:p>
    <w:p>
      <w:pPr>
        <w:spacing w:after="0" w:line="31"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8"/>
          <w:szCs w:val="18"/>
          <w:color w:val="auto"/>
        </w:rPr>
        <w:t>Vaxart will expand on the durability of the immune responses initially characterized by tracking mucosal samples from vaccinated individuals for a year, and assess cross-reactivity over time. Vaxart will characterize the B cell memory populations to understand how prior vaccination and infection exposure shapes the B cell repertoire. B cells elicited by vaccination will be cloned and characterized for the ability to produce cross-reactive antibodies to SARS-CoV-2 variants and other coronaviruses. Specifically, Vaxart will:</w:t>
      </w:r>
    </w:p>
    <w:p>
      <w:pPr>
        <w:spacing w:after="0" w:line="189"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mucosal memory cell responses.</w:t>
      </w:r>
    </w:p>
    <w:p>
      <w:pPr>
        <w:spacing w:after="0" w:line="27" w:lineRule="exact"/>
        <w:rPr>
          <w:rFonts w:ascii="Times New Roman" w:cs="Times New Roman" w:eastAsia="Times New Roman" w:hAnsi="Times New Roman"/>
          <w:sz w:val="18"/>
          <w:szCs w:val="18"/>
          <w:color w:val="auto"/>
        </w:rPr>
      </w:pPr>
    </w:p>
    <w:p>
      <w:pPr>
        <w:ind w:left="660" w:right="600" w:hanging="328"/>
        <w:spacing w:after="0" w:line="26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Clone antibodies that bind to SARS-COV-2 and other coronaviruses induced by the two vaccines and evaluate cloned antibodies for cross-reactivity and affinity.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 Clinical Trial Execution for Phase 2b Clinical Trial (WBS 1)</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Vaxart shall execute a Phase 2b clinical trial in approximately 10,000 individuals comparing Vaxart’s vaccine candidate and an mRNA vaccine comparator for efficacy, immune induction, and safety. The clinical trial will begin with a sentinel/safety cohort of 400 individuals using Vaxart’s XBB vaccine and an mRNA XBB comparator.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Program Management (WBS 1.1)</w:t>
      </w:r>
    </w:p>
    <w:p>
      <w:pPr>
        <w:spacing w:after="0" w:line="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Vaxart’s program management activities will follow procedures described in the Project Management Institute Project Management Book of Knowledge (“PMBOK©”). These activities align with requirements established by BARDA. Consistent with those requirements, the primary objective to program management is to ensure that the activities and outputs that result are delivered on time, within scope and budget, and meet applicable quality standards.</w:t>
      </w:r>
    </w:p>
    <w:p>
      <w:pPr>
        <w:sectPr>
          <w:pgSz w:w="11900" w:h="16838" w:orient="portrait"/>
          <w:cols w:equalWidth="0" w:num="1">
            <w:col w:w="11240"/>
          </w:cols>
          <w:pgMar w:left="320" w:top="792" w:right="339" w:bottom="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Vaxart will undertake all of the required program management activities necessary to complete stage 1 and stage 2 of this project.</w:t>
      </w:r>
    </w:p>
    <w:p>
      <w:pPr>
        <w:spacing w:after="0" w:line="27" w:lineRule="exact"/>
        <w:rPr>
          <w:sz w:val="20"/>
          <w:szCs w:val="20"/>
          <w:color w:val="auto"/>
        </w:rPr>
      </w:pPr>
    </w:p>
    <w:p>
      <w:pPr>
        <w:jc w:val="both"/>
        <w:ind w:left="740" w:right="26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Investigator (PI) for the project will work with Vaxart’s program management team and will be responsible for the technical and contractual deliverables of the program. The Vaxart Program Team (VPT), which includes representatives from BARDA, will conduct weekly progress meetings through the period of performance. In addition, the VPT will conduct monthly performance reviews in accordance with the USG contract/communication plan requirements. (WBS 1.1.1)</w:t>
      </w:r>
    </w:p>
    <w:p>
      <w:pPr>
        <w:spacing w:after="0" w:line="1"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Manager and Principal Investigator will have responsibility for deliverables from the Subcontractors. Each of the Subcontractors will be managed day-to-day by the program management team and the appropriate Vaxart Technical Lead. A Subcontract Management Plan will be submitted to BARDA within [***] business days of award in accordance with the ASPR Business Toolkit. The Project Manager shall have the responsibility of reporting to BARDA any material subcontract issues that could impact the timing and quality of the program deliverables. (WBS 1.1.2)</w:t>
      </w:r>
    </w:p>
    <w:p>
      <w:pPr>
        <w:spacing w:after="0" w:line="1" w:lineRule="exact"/>
        <w:rPr>
          <w:rFonts w:ascii="Times New Roman" w:cs="Times New Roman" w:eastAsia="Times New Roman" w:hAnsi="Times New Roman"/>
          <w:sz w:val="18"/>
          <w:szCs w:val="18"/>
          <w:color w:val="auto"/>
        </w:rPr>
      </w:pPr>
    </w:p>
    <w:p>
      <w:pPr>
        <w:ind w:left="74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 and program management team are the leads and with the entire Project Teams input, have responsibility for Risk Identification and Mitigation. Included in this section is the generation of a Risk Management Plan (RMP) and Security Plan within [***] business days of contract award to be approved by BARDA. While monitoring risk will be on-going through the program and a topic for discussion in the telecons/meeting with BARDA, the Risk Register and associated documentation from the RMP will be updated no less than monthly and included in the Monthly Technical Progress Report to BARDA. (WBS 1.1.3)</w:t>
      </w:r>
    </w:p>
    <w:p>
      <w:pPr>
        <w:spacing w:after="0" w:line="1" w:lineRule="exact"/>
        <w:rPr>
          <w:rFonts w:ascii="Times New Roman" w:cs="Times New Roman" w:eastAsia="Times New Roman" w:hAnsi="Times New Roman"/>
          <w:sz w:val="18"/>
          <w:szCs w:val="18"/>
          <w:color w:val="auto"/>
        </w:rPr>
      </w:pPr>
    </w:p>
    <w:p>
      <w:pPr>
        <w:ind w:left="740" w:right="66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perform and report on program performance as directed by BARDA. Included in this activity is program cost accounting and invoicing. (WBS 1.1.4)</w:t>
      </w:r>
    </w:p>
    <w:p>
      <w:pPr>
        <w:ind w:left="740" w:right="12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maintain a quality management system to ensure that all activities carried out in accordance with the standards applicable to medical devices and pharmaceutical activities for clinical studies. Vaxart will use a Quality Assurance Surveillance Plan (QASP) with the key subcontractors in the program. The QASP, an element of Quality Management, will describe the methods used to monitor subcontractor performance, establish documentation/reporting requirements, and Vaxart’s interactions with the subcontractor. The QASP is a means for evaluating whether the subcontractor is meeting the performance standards/quality levels identified in the project work plan and the contractor’s quality control plan, and to ensure that the deliverables meet Vaxart’s commitment to BARDA in the program. (WBS 1.1.5)</w:t>
      </w:r>
    </w:p>
    <w:p>
      <w:pPr>
        <w:spacing w:after="0" w:line="2" w:lineRule="exact"/>
        <w:rPr>
          <w:rFonts w:ascii="Times New Roman" w:cs="Times New Roman" w:eastAsia="Times New Roman" w:hAnsi="Times New Roman"/>
          <w:sz w:val="18"/>
          <w:szCs w:val="18"/>
          <w:color w:val="auto"/>
        </w:rPr>
      </w:pPr>
    </w:p>
    <w:p>
      <w:pPr>
        <w:ind w:left="740" w:right="160" w:hanging="327"/>
        <w:spacing w:after="0" w:line="250" w:lineRule="auto"/>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Vaxart’s overall program management activities including subcontractor, risk and quality management activities will travel to sites as necessary to oversee the project. (WBS 1.1.6)</w:t>
      </w:r>
    </w:p>
    <w:p>
      <w:pPr>
        <w:ind w:left="740" w:hanging="327"/>
        <w:spacing w:after="0"/>
        <w:tabs>
          <w:tab w:leader="none" w:pos="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deliverables for WBS 1.1 subtasks are delineated in Section 4.0 Deliverables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Analytical (WBS 1.2)</w:t>
      </w:r>
    </w:p>
    <w:p>
      <w:pPr>
        <w:spacing w:after="0" w:line="3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Vaxart’s analytical activities encompass those activities to be performed to collect, test, and report on samples taken from subjects in the Phase 2b trial. The lead-in cohort samples will be stored for analysis, pending an agreed upon plan from BARDA/ATI. Vaxart will provide serum and PBMC samples to BARDA for analysis at a central CRO (WBS 1.2.1).</w:t>
      </w:r>
    </w:p>
    <w:p>
      <w:pPr>
        <w:spacing w:after="0" w:line="1" w:lineRule="exact"/>
        <w:rPr>
          <w:sz w:val="20"/>
          <w:szCs w:val="20"/>
          <w:color w:val="auto"/>
        </w:rPr>
      </w:pPr>
    </w:p>
    <w:p>
      <w:pPr>
        <w:ind w:left="740" w:right="120" w:hanging="327"/>
        <w:spacing w:after="0" w:line="252" w:lineRule="auto"/>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samples will be collected from all subjects according to the schedule detailed in the synopsis. Samples will be shipped from the clinical sites to a central repository. Samples from the central repository will be shipped to the CRO contracted by BARDA to measure serum antibody responses. (WBS1.2.1.1)PBMC samples will be taken from greater than 1,000 subjects, according to the timeline plan detailed in the protocol. These will be processed using the BARDA protocol of PBMC isolation. Samples will be shipped with a liquid N2 dry shipper to a central repository and provided to the CRO contracted by BARDA to measure to measure T cell responses to SARS-Cov-2 S protein. Additionally, 200 subjects (0 and 7 days post vaccination) enrolled in the study will be collected and processed using the Vaxart protocol for isolation. These samples will be used for assessing mucosal memory and mucosal homing markers in Phase 2. (WBS 1.2.1.3)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BARDA and Vaxart will characterize immune responses at mucosal surfaces according to the schedule detailed in the synopsis. (WBS 1.2.2)</w:t>
      </w:r>
    </w:p>
    <w:p>
      <w:pPr>
        <w:spacing w:after="0" w:line="27" w:lineRule="exact"/>
        <w:rPr>
          <w:sz w:val="20"/>
          <w:szCs w:val="20"/>
          <w:color w:val="auto"/>
        </w:rPr>
      </w:pPr>
    </w:p>
    <w:p>
      <w:pPr>
        <w:ind w:left="740" w:right="160" w:hanging="327"/>
        <w:spacing w:after="0" w:line="250" w:lineRule="auto"/>
        <w:tabs>
          <w:tab w:leader="none" w:pos="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test the effects of mucosal vaccination, saliva samples will be collected using [***] devices at timepoints post vaccination according to the schedule detailed in the synopsis. Samples will be shipped to the mucosal processing lab contracted by BARDA. Spike specific antibody levels will be assessed using MSD technology and functional antibodies (nAb) will be measured by [***]. Vaxart will evaluate a small subset for pan-coronavirus immune responses and nAb using surrogate neutralization assays (sVNTs). (WBS 1.2.2.1)</w:t>
      </w:r>
    </w:p>
    <w:p>
      <w:pPr>
        <w:spacing w:after="0" w:line="1" w:lineRule="exact"/>
        <w:rPr>
          <w:rFonts w:ascii="Times New Roman" w:cs="Times New Roman" w:eastAsia="Times New Roman" w:hAnsi="Times New Roman"/>
          <w:sz w:val="18"/>
          <w:szCs w:val="18"/>
          <w:color w:val="auto"/>
        </w:rPr>
      </w:pPr>
    </w:p>
    <w:p>
      <w:pPr>
        <w:ind w:left="740" w:right="180" w:hanging="327"/>
        <w:spacing w:after="0" w:line="273" w:lineRule="auto"/>
        <w:tabs>
          <w:tab w:leader="none" w:pos="7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test the effects of mucosal vaccination, nasal samples will be collected using Nasosorption devices (Mucosal Diagnostics) at timepoints post vaccination according to the schedule detailed in the synopsis. Samples will be shipped to the mucosal processing lab contracted by BARDA. Spike specific antibody levels will be assessed using MSD technology and functional antibodies (nAb) will be measured by [***]. Vaxart will evaluate a small subset for pan-coronavirus immune responses and nAb using surrogate neutralization assays (sVNTs). (WBS 1.2.2.2)</w:t>
      </w:r>
    </w:p>
    <w:p>
      <w:pPr>
        <w:spacing w:after="0" w:line="17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Vaxart will determine the efficacy of Vaxart’s vaccine candidate and the mRNA comparator vaccine against symptomatic and asymptomatic COVID-19 infection. (WBS 1.2.3)</w:t>
      </w:r>
    </w:p>
    <w:p>
      <w:pPr>
        <w:ind w:left="740" w:right="340" w:hanging="327"/>
        <w:spacing w:after="0" w:line="250" w:lineRule="auto"/>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that report covid infection will be asked to provide nasal swab samples [***] to determine duration of shedding. Any subject testing positive for symptomatic infection will be sequenced from the first positive sample to determine the breakthrough strain. (WBS 1.2.3.1)</w:t>
      </w:r>
    </w:p>
    <w:p>
      <w:pPr>
        <w:ind w:left="740" w:right="60" w:hanging="327"/>
        <w:spacing w:after="0" w:line="255" w:lineRule="auto"/>
        <w:tabs>
          <w:tab w:leader="none" w:pos="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subjects enrolled will be provided kits to swab weekly for SARS-COv-2 infection. Samples will be returned to a central lab by mail. Samples will be tested for asymptomatic infection. The central lab will compile the data and at the end of the study, the two different vaccines will be compared for relative protection against infection. (WBS 1.2.3.2)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conduct an analysis to identify immune correlates of protection and assess the relative importance of the correlates. (WBS 1.2.4)</w:t>
      </w:r>
    </w:p>
    <w:p>
      <w:pPr>
        <w:spacing w:after="0" w:line="27" w:lineRule="exact"/>
        <w:rPr>
          <w:sz w:val="20"/>
          <w:szCs w:val="20"/>
          <w:color w:val="auto"/>
        </w:rPr>
      </w:pPr>
    </w:p>
    <w:p>
      <w:pPr>
        <w:ind w:left="740" w:right="180" w:hanging="327"/>
        <w:spacing w:after="0" w:line="250" w:lineRule="auto"/>
        <w:tabs>
          <w:tab w:leader="none" w:pos="7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Statistician with significant immune correlate analysis will develop an analysis plan to examine the relative importance of the correlates. (WBS 1.2.4.1)</w:t>
      </w:r>
    </w:p>
    <w:p>
      <w:pPr>
        <w:ind w:left="740" w:right="240" w:hanging="327"/>
        <w:spacing w:after="0" w:line="250" w:lineRule="auto"/>
        <w:tabs>
          <w:tab w:leader="none" w:pos="7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study, the data will be compiled on the various immune parameters, and correlates of protection analyzed against both symptomatic and asymptomatic infection. If more analysis of secondary endpoints is needed, additional samples may be added in the analysis. (WBS 1.2.4.2)</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employ machine learning to refine the understanding risk factors and immune correlates are steps. (WBS 1.2.4.3)</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Vaxart will perform all of the required safety laboratory screening to provide a study subjects baseline of these parameters as well as monitoring during the study. (WBS 1.2.5)</w:t>
      </w: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CBC, Coagulation and Chem 7 testing per study protocol will be conducted (WBS 1.2.5.1)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Urine and pregnancy testing per study protocol will be conducted (WBS 1.2.5.2)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testing as required per study protocol will be conducted (WBS 1.2.5.3)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(WBS 1.3)</w:t>
      </w:r>
    </w:p>
    <w:p>
      <w:pPr>
        <w:spacing w:after="0" w:line="3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Vaxart’s clinical efforts encompasses all activities and tasks to be performed in the execution of the phase 2b clinical trial for study execution with a sentinel/safety group of 400 participants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complete safety review of Day 1 – 31 for that cohort and to activate additional sites and resume screening to support enrollment for 10,000 participants. </w:t>
      </w:r>
      <w:r>
        <w:rPr>
          <w:rFonts w:ascii="Times New Roman" w:cs="Times New Roman" w:eastAsia="Times New Roman" w:hAnsi="Times New Roman"/>
          <w:sz w:val="18"/>
          <w:szCs w:val="18"/>
          <w:b w:val="1"/>
          <w:bCs w:val="1"/>
          <w:i w:val="1"/>
          <w:iCs w:val="1"/>
          <w:color w:val="auto"/>
        </w:rPr>
        <w:t>.</w:t>
      </w:r>
    </w:p>
    <w:p>
      <w:pPr>
        <w:sectPr>
          <w:pgSz w:w="11900" w:h="16838" w:orient="portrait"/>
          <w:cols w:equalWidth="0" w:num="1">
            <w:col w:w="11240"/>
          </w:cols>
          <w:pgMar w:left="320" w:top="121" w:right="339" w:bottom="0" w:gutter="0" w:footer="0" w:header="0"/>
        </w:sectPr>
      </w:pPr>
    </w:p>
    <w:bookmarkStart w:id="146" w:name="page147"/>
    <w:bookmarkEnd w:id="146"/>
    <w:p>
      <w:pPr>
        <w:ind w:right="400"/>
        <w:spacing w:after="0" w:line="261" w:lineRule="auto"/>
        <w:rPr>
          <w:sz w:val="20"/>
          <w:szCs w:val="20"/>
          <w:color w:val="auto"/>
        </w:rPr>
      </w:pPr>
      <w:r>
        <w:rPr>
          <w:rFonts w:ascii="Times New Roman" w:cs="Times New Roman" w:eastAsia="Times New Roman" w:hAnsi="Times New Roman"/>
          <w:sz w:val="18"/>
          <w:szCs w:val="18"/>
          <w:color w:val="auto"/>
        </w:rPr>
        <w:t>Vaxart will complete all of the activities required for clinical trial site start-up. BARDA representatives will be included in all key discussions with the CRO for clinical trial site start-up to include but not limited to diversity, recruitment, enrollment, and retention.(WBS 1.3.1)</w:t>
      </w:r>
    </w:p>
    <w:p>
      <w:pPr>
        <w:ind w:left="760" w:right="4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set of documents that provide critical information about the study and ensure regulatory compliance will be prepared. These documents include the study protocol, informed consent forms, investigator's brochure, case report forms, institutional review board (IRB) approvals, clinical trial agreements, financial disclosure forms, any adverse events, and additional safety-related reporting forms, and monitoring plans. (WBS 1.3.1.1)</w:t>
      </w:r>
    </w:p>
    <w:p>
      <w:pPr>
        <w:spacing w:after="0" w:line="1" w:lineRule="exact"/>
        <w:rPr>
          <w:rFonts w:ascii="Times New Roman" w:cs="Times New Roman" w:eastAsia="Times New Roman" w:hAnsi="Times New Roman"/>
          <w:sz w:val="18"/>
          <w:szCs w:val="18"/>
          <w:color w:val="auto"/>
        </w:rPr>
      </w:pPr>
    </w:p>
    <w:p>
      <w:pPr>
        <w:ind w:left="760" w:right="4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contract negotiation will be completed. This will include finalization of details including site payment, indemnification, intellectual property rights, publication rights, and data ownership. (WBS 1.3.1.2)</w:t>
      </w:r>
    </w:p>
    <w:p>
      <w:pPr>
        <w:ind w:left="760" w:right="14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budget negotiation will be completed. This will include finalization of the budget for activities such as participant recruitment, study visits, data collection, site personnel costs, and any additional expenses related to the trial. (WBS 1.3.1.3)</w:t>
      </w:r>
    </w:p>
    <w:p>
      <w:pPr>
        <w:ind w:left="760" w:right="40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binders will be compiled and sent to clinical sites participating in the trial. These include study protocol, investigator's brochure, informed consent forms, IRB approvals, financial disclosure forms, and other regulatory submissions. (WBS 1.3.1.4)</w:t>
      </w:r>
    </w:p>
    <w:p>
      <w:pPr>
        <w:ind w:left="760" w:right="4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initiation visits (SIVs) will be conducted to ensure that the research site is ready to initiate the study. During SIVs, representatives from the sponsor or contract research organization (CRO) will meet with the site staff to review study procedures, data collection methods, and regulatory requirements. (WBS 1.3.1.5). BARDA representative(s) will be invited at SIVs and IMVs with appropriate notice to allow for coordination with all parties.</w:t>
      </w:r>
    </w:p>
    <w:p>
      <w:pPr>
        <w:spacing w:after="0" w:line="1" w:lineRule="exact"/>
        <w:rPr>
          <w:rFonts w:ascii="Times New Roman" w:cs="Times New Roman" w:eastAsia="Times New Roman" w:hAnsi="Times New Roman"/>
          <w:sz w:val="18"/>
          <w:szCs w:val="18"/>
          <w:color w:val="auto"/>
        </w:rPr>
      </w:pPr>
    </w:p>
    <w:p>
      <w:pPr>
        <w:ind w:left="760" w:right="20" w:hanging="320"/>
        <w:spacing w:after="0" w:line="250"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product, as well as the mRNA comparator, will be shipped to investigative sites. Based on the site's enrollment needs, the sponsor or contract research organization (CRO) will generate drug shipment orders. These orders specify the quantity of investigational product required. The orders are then processed through an Interactive Web Response System (IWRS), which helps manage and track drug supplies supported by automated re-supply triggers. The IWRS assigns unique randomization numbers and treatment codes to participants, ensuring blinded allocation. The drug is then packaged, labeled, and shipped to the investigative sites following regulatory and logistical requirements. The site receives the shipment, confirms its integrity, and maintains appropriate storage and accountability records for the investigational product throughout the trial. (WBS 1.3.1.6</w:t>
      </w:r>
      <w:r>
        <w:rPr>
          <w:rFonts w:ascii="Times New Roman" w:cs="Times New Roman" w:eastAsia="Times New Roman" w:hAnsi="Times New Roman"/>
          <w:sz w:val="18"/>
          <w:szCs w:val="18"/>
          <w:b w:val="1"/>
          <w:bCs w:val="1"/>
          <w:i w:val="1"/>
          <w:iCs w:val="1"/>
          <w:color w:val="auto"/>
        </w:rPr>
        <w:t>).</w:t>
      </w:r>
    </w:p>
    <w:p>
      <w:pPr>
        <w:spacing w:after="0" w:line="2" w:lineRule="exact"/>
        <w:rPr>
          <w:rFonts w:ascii="Times New Roman" w:cs="Times New Roman" w:eastAsia="Times New Roman" w:hAnsi="Times New Roman"/>
          <w:sz w:val="18"/>
          <w:szCs w:val="18"/>
          <w:color w:val="auto"/>
        </w:rPr>
      </w:pPr>
    </w:p>
    <w:p>
      <w:pPr>
        <w:ind w:left="1420" w:right="8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shipment of IP for the initial 400 sentinel participants will be closely managed by Vaxart. The remaining unused XBB material can be disposed per written agreement with BARDA.</w:t>
      </w:r>
    </w:p>
    <w:p>
      <w:pPr>
        <w:ind w:left="760" w:right="320" w:hanging="320"/>
        <w:spacing w:after="0" w:line="255"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required laboratory and essential supplies will be shipped to investigative sites. These supplies can include items such as laboratory kits, specimen collection materials, study-specific laboratory tests, shipping containers, and labeling materials. The CRO ensures the timely provision of these supplies, often in accordance with the study protocol and specific requirements outlined by the sponsor. (WBS 1.3.1.7)</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Vaxart will enroll eligible participants first in the sentinel safety cohort (400) followed by the 10,000 cohort. Vaxart will ensure participants are randomized and assigned to a treatment group. (WBS 1.3.2)</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Vaxart will enroll eligible volunteers first in the safety lead-in cohort (400) and, upon successful DSMB 30-day safety review along with FDA and BARDA approval, then in the follow-on 10,000 subject full enrollment cohorts, and ensure that they are randomized and assigned to a treatment group. (WBS 1.3.2). The Project Awardee agrees that the Phase 2b clinical trial will be conducted in alignment with Attachment B, “Key Tenets”. Awardees must provide a Diversity Plan that includes enrollment of participants in both the lead-in cohort of 400 participants and the full enrollment of 10,000 participants based on the agreed upon plan. Diversity targets will align with the 2020 US Census Data provided here: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OMB/FDA/US Census Categories</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2020/2023 US Census Data*</w:t>
            </w:r>
          </w:p>
        </w:tc>
        <w:tc>
          <w:tcPr>
            <w:tcW w:w="2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Planned Enrollment</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Actual Enrollment</w:t>
            </w: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Subgroup Population</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Sex</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50.5%</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49.5%</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0"/>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Ethnicity</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Hispanic or Latino</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19.5%</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Hispanic or Latino**</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N/A</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10"/>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Race</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American Indian or Alaska Native</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5"/>
              </w:rPr>
              <w:t>1.3%</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Asian</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5"/>
              </w:rPr>
              <w:t>6.4%</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Black or African American</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13.7%</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Native Hawaiian or Other Pacific Islander</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5"/>
              </w:rPr>
              <w:t>0.3%</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White</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75.3%</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Two or More Races***</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5"/>
              </w:rPr>
              <w:t>3.1%</w:t>
            </w:r>
          </w:p>
        </w:tc>
        <w:tc>
          <w:tcPr>
            <w:tcW w:w="2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09"/>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18-64 years</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60.6%</w:t>
            </w:r>
          </w:p>
        </w:tc>
        <w:tc>
          <w:tcPr>
            <w:tcW w:w="2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75%</w:t>
            </w:r>
          </w:p>
        </w:tc>
        <w:tc>
          <w:tcPr>
            <w:tcW w:w="1920" w:type="dxa"/>
            <w:vAlign w:val="bottom"/>
            <w:tcBorders>
              <w:bottom w:val="single" w:sz="8" w:color="auto"/>
            </w:tcBorders>
          </w:tcPr>
          <w:p>
            <w:pPr>
              <w:spacing w:after="0"/>
              <w:rPr>
                <w:sz w:val="18"/>
                <w:szCs w:val="18"/>
                <w:color w:val="auto"/>
              </w:rPr>
            </w:pPr>
          </w:p>
        </w:tc>
      </w:tr>
      <w:tr>
        <w:trPr>
          <w:trHeight w:val="210"/>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65 years</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17.7%</w:t>
            </w:r>
          </w:p>
        </w:tc>
        <w:tc>
          <w:tcPr>
            <w:tcW w:w="2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6"/>
              </w:rPr>
              <w:t>25%</w:t>
            </w: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N/A</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100%</w:t>
            </w:r>
          </w:p>
        </w:tc>
      </w:tr>
      <w:tr>
        <w:trPr>
          <w:trHeight w:val="209"/>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Risk for Severe COVID****</w:t>
            </w:r>
          </w:p>
        </w:tc>
        <w:tc>
          <w:tcPr>
            <w:tcW w:w="2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75.4%</w:t>
            </w: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Proposed Sites</w:t>
            </w:r>
          </w:p>
        </w:tc>
        <w:tc>
          <w:tcPr>
            <w:tcW w:w="2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US Census data refers to 2020 US Census data = 2023 US Census Data; U.S. Census Bureau QuickFacts: United States; accessed 12/12/2024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both"/>
        <w:ind w:right="740"/>
        <w:spacing w:after="0" w:line="282" w:lineRule="auto"/>
        <w:rPr>
          <w:sz w:val="20"/>
          <w:szCs w:val="20"/>
          <w:color w:val="auto"/>
        </w:rPr>
      </w:pPr>
      <w:r>
        <w:rPr>
          <w:rFonts w:ascii="Times New Roman" w:cs="Times New Roman" w:eastAsia="Times New Roman" w:hAnsi="Times New Roman"/>
          <w:sz w:val="18"/>
          <w:szCs w:val="18"/>
          <w:color w:val="auto"/>
        </w:rPr>
        <w:t>**2020/2023 US Census data does not include reporting for Not Hispanic or Latino; however, OMB and FDA include reporting for this category; comparison to 2020/2023 US Census data is N/A</w:t>
      </w:r>
    </w:p>
    <w:p>
      <w:pPr>
        <w:sectPr>
          <w:pgSz w:w="11900" w:h="16838" w:orient="portrait"/>
          <w:cols w:equalWidth="0" w:num="1">
            <w:col w:w="11240"/>
          </w:cols>
          <w:pgMar w:left="320" w:top="121" w:right="339" w:bottom="0" w:gutter="0" w:footer="0" w:header="0"/>
        </w:sectPr>
      </w:pPr>
    </w:p>
    <w:bookmarkStart w:id="147" w:name="page148"/>
    <w:bookmarkEnd w:id="147"/>
    <w:p>
      <w:pPr>
        <w:ind w:right="140"/>
        <w:spacing w:after="0" w:line="282" w:lineRule="auto"/>
        <w:rPr>
          <w:sz w:val="20"/>
          <w:szCs w:val="20"/>
          <w:color w:val="auto"/>
        </w:rPr>
      </w:pPr>
      <w:r>
        <w:rPr>
          <w:rFonts w:ascii="Times New Roman" w:cs="Times New Roman" w:eastAsia="Times New Roman" w:hAnsi="Times New Roman"/>
          <w:sz w:val="18"/>
          <w:szCs w:val="18"/>
          <w:color w:val="auto"/>
        </w:rPr>
        <w:t>***2020/2023 US Census data includes reporting for Two or More Races; however, OMB and FDA do not include reporting for this category; individual race categories should be reported instead according to participant selections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****US adults with at least one increased-risk condition; U.S. population at increased risk of severe illness from COVID-19 - ScienceDirect; accessed 12/12/2024</w:t>
      </w:r>
    </w:p>
    <w:p>
      <w:pPr>
        <w:spacing w:after="0" w:line="3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Diversity Plan includes proposed targets to achieve the deliverable and also includes how PBMCs will be collected from a diverse population. Post enrollment of 2500, 5000 and 7500 participants, the parties will meet to ensure alignment with the goals of the diversity plan. Plans to continue or adjust strategy for diverse enrollment will be discussed and agreed to at that time, if necessary. BARDA reserves the right to issue a stop work order if alignment is not reached.</w:t>
      </w:r>
    </w:p>
    <w:p>
      <w:pPr>
        <w:spacing w:after="0" w:line="180"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participants will undergo pre-screening including an initial evaluation to determine their eligibility (WBS 1.3.2.1)</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efforts to identify and enroll an eligible and diverse participant population will be undertaken. These may include developing targeted recruitment strategies and advertisements to reach the intended participant population. Participant recruitment vendors may be engaged to assist with recruitment campaigns, utilizing various channels such as online platforms, social media, print media, and community outreach. BARDA, ASPR, and HHS logos are not allowable in any source of materials for recruitment (WBS 1.3.2.2)</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data will be provided daily, in a format and to a location agreed to by BARDA. to ensure that study enrollment is tracking study goals, including diversity goals. Strategies will be implemented to correct any enrollment lag or diversity imbalances identified.</w:t>
      </w: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trial participants’ past medical or surgical history to confirm eligibility into the study will be requested. (WBS 1.3.2.3)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informed consent will be obtained. (WBS 1.3.2.4)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Screening visits will be performed. (WBS 1.3.2.5)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and investigators will verify participant eligibility for clinical trials by conducting a thorough evaluation. (WBS 1.3.2.6)</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 be randomized using the Interactive Web Response System (IWRS) which will assign unique identification numbers and determines treatment allocation based on the randomization schedule. (WBS 1.3.2.7)</w:t>
      </w:r>
    </w:p>
    <w:p>
      <w:pPr>
        <w:ind w:left="660" w:right="360" w:hanging="328"/>
        <w:spacing w:after="0" w:line="26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Dosing data will be updated into EDC within 24 hours to support the daily data dashboard reporting. All other data will be updated into EDC within 48 hours.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complete all the activities required to ensure clinical conduct of the trial. (WBS 1.3.3)</w:t>
      </w:r>
    </w:p>
    <w:p>
      <w:pPr>
        <w:spacing w:after="0" w:line="27" w:lineRule="exact"/>
        <w:rPr>
          <w:sz w:val="20"/>
          <w:szCs w:val="20"/>
          <w:color w:val="auto"/>
        </w:rPr>
      </w:pPr>
    </w:p>
    <w:p>
      <w:pPr>
        <w:ind w:left="740" w:right="460" w:hanging="327"/>
        <w:spacing w:after="0" w:line="250"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visits will be performed as per the clinical trial protocol. Site visits will involve scheduling the visit, preparing study materials, administering assessments, and addressing study participants’ questions. Investigators oversee the visit, conducting physical examinations, reviewing data, making treatment decisions, and ensuring protocol adherence. (WBS 1.3.3.1)</w:t>
      </w:r>
    </w:p>
    <w:p>
      <w:pPr>
        <w:spacing w:after="0" w:line="1" w:lineRule="exact"/>
        <w:rPr>
          <w:rFonts w:ascii="Times New Roman" w:cs="Times New Roman" w:eastAsia="Times New Roman" w:hAnsi="Times New Roman"/>
          <w:sz w:val="18"/>
          <w:szCs w:val="18"/>
          <w:color w:val="auto"/>
        </w:rPr>
      </w:pPr>
    </w:p>
    <w:p>
      <w:pPr>
        <w:ind w:left="740" w:right="40" w:hanging="327"/>
        <w:spacing w:after="0" w:line="250"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monitoring will be conducted throughout as per the clinical trial protocol. The safety monitoring process during study visits will include AE reporting, safety assessments, protocol adherence, and proactive pharmacovigilance measures. Study coordinators will systematically collect information on adverse events (AEs) or any untoward medical occurrences experienced by participants during or after the study visit. AEs can range from mild side effects to serious adverse reactions. These events will be documented, assessed for severity and causality, and reported to the appropriate regulatory authorities and the trial sponsor as per the established reporting timelines and guidelines. (WBS 1.3.3.2)</w:t>
      </w:r>
    </w:p>
    <w:p>
      <w:pPr>
        <w:spacing w:after="0" w:line="1" w:lineRule="exact"/>
        <w:rPr>
          <w:rFonts w:ascii="Times New Roman" w:cs="Times New Roman" w:eastAsia="Times New Roman" w:hAnsi="Times New Roman"/>
          <w:sz w:val="18"/>
          <w:szCs w:val="18"/>
          <w:color w:val="auto"/>
        </w:rPr>
      </w:pPr>
    </w:p>
    <w:p>
      <w:pPr>
        <w:ind w:left="1380" w:right="4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 recommended by the FDA, a Drug Safety Monitoring Board (DSMB) will convene and review safety data of the initial 400 participants in the sentinel cohort after they complete Day 31 (Visit 3). The raw data and the DSMB recommendation will then be submitted to BARDA and the FDA.</w:t>
      </w:r>
    </w:p>
    <w:p>
      <w:pPr>
        <w:spacing w:after="0" w:line="1" w:lineRule="exact"/>
        <w:rPr>
          <w:rFonts w:ascii="Times New Roman" w:cs="Times New Roman" w:eastAsia="Times New Roman" w:hAnsi="Times New Roman"/>
          <w:sz w:val="18"/>
          <w:szCs w:val="18"/>
          <w:color w:val="auto"/>
        </w:rPr>
      </w:pPr>
    </w:p>
    <w:p>
      <w:pPr>
        <w:ind w:left="740" w:right="20" w:hanging="327"/>
        <w:spacing w:after="0" w:line="252"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Biosamples will be collected as per the clinical trial protocol. Trained healthcare professionals will conduct phlebotomy to draw blood, and participants provide urine samples as required. After collection, the biosamples will be processed, labelled and stored until shipping. Biosamples will be transported to designated laboratories using specialized containers that maintain required temperatures. The collection of PBMC (Peripheral Blood Mononuclear Cell) samples involves a specialized process to obtain these immune cells from the blood for research purposes. Trained healthcare professionals will perform venipuncture to draw blood from the participant. The sample will be processed, labeled and then cryopreserved or immediately used for various immune-based assays or research investigations. (WBS 1.3.3.3)</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Vaxart will oversee routine and for-cause monitoring visits during the conduct of the clinical trial to ensure compliance with the study protocol, regulatory requirements, and Good Clinical Practice (GCP) guidelines. (WBA 1.3.4)</w:t>
      </w:r>
    </w:p>
    <w:p>
      <w:pPr>
        <w:ind w:left="660" w:right="160" w:hanging="328"/>
        <w:spacing w:after="0" w:line="25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Associates (CRAs) will travel as necessary to conduct routine monitoring visits. During these visits, CRAs review study data, source documents, and participant records, ensuring compliance with protocols and regulations. Additionally, they will provide support and training to site personnel, address any issues or queries, and ensure adherence to Good Clinical Practice (GCP) standards. (WBS 1.3.4.1)</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Associates (CRAs) will conduct source data verification (SDV) to review and confirm the accuracy of data recorded in source documents against the study database. CRAs will cross-reference source documents like medical records and lab reports with case report forms (CRFs) to identify discrepancies or errors. Data queries are raised to resolve any issues, ensuring data accuracy and compliance with the study protocol and regulatory standards. CRAs also assess participant safety and provide guidance to site personnel, ultimately upholding data quality and the integrity of the clinical trial while safeguarding participant well-being. (WBS 1.3.4.2)</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with investigators will be conducted as necessary to ensure planning, coordination and to discuss essential trial-related topics. The sponsor or CRO schedules the meetings and prepares an agenda, covering aspects such as trial progress, protocol compliance, safety updates, data quality, participant retention, and investigational product management. During the meetings, investigators may provide updates on recruitment, safety data, and protocol adherence while addressing challenges and proposing strategies for participant retention. (WBS 1.3.4.3)</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or trip reports will be prepared by Clinical Research Associates (CRAs) after conducting routine monitoring visits to research sites. These reports will include a detailed account of the visit, including site activities, data verification, source document review, and any findings or discrepancies identified. They will document participant safety assessments, compliance with the study protocol and regulatory guidelines, and any issues or concerns raised during the visit. (WBS 1.3.4.4)</w:t>
      </w:r>
    </w:p>
    <w:p>
      <w:pPr>
        <w:spacing w:after="0" w:line="1"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site supplies management will be performed during the clinical trial. These activities involve systematic inventory monitoring, timely replenishment, and distribution of essential materials and investigational products to research sites. (WBS 1.3.4.5)</w:t>
      </w:r>
    </w:p>
    <w:p>
      <w:pPr>
        <w:spacing w:after="0" w:line="18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Vaxart will undertake a comprehensive clinical data management program that will include the collection, validation, and analysis of participant data to ensure its accuracy, completeness, and confidentiality. (WBS 1.3.5)</w:t>
      </w:r>
    </w:p>
    <w:p>
      <w:pPr>
        <w:ind w:left="660" w:right="140" w:hanging="328"/>
        <w:spacing w:after="0" w:line="250"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resolution activities will include identification and rectification of discrepancies or missing information in study data. Data managers or clinical research associates (CRAs) review the data for inconsistencies and raise queries to the site personnel or data entry personnel to seek clarification or corrections. These queries are documented and communicated to the site, and the site responds with the necessary information to resolve the query. (WBS 1.3.5.1)</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statistical analysis plan (SAP) will be developed and finalized prior to database unblinding. The effort will begin with defining the trial's</w:t>
      </w:r>
    </w:p>
    <w:p>
      <w:pPr>
        <w:sectPr>
          <w:pgSz w:w="11900" w:h="16838" w:orient="portrait"/>
          <w:cols w:equalWidth="0" w:num="1">
            <w:col w:w="11180"/>
          </w:cols>
          <w:pgMar w:left="320" w:top="121" w:right="399" w:bottom="0" w:gutter="0" w:footer="0" w:header="0"/>
        </w:sectPr>
      </w:pPr>
    </w:p>
    <w:bookmarkStart w:id="148" w:name="page149"/>
    <w:bookmarkEnd w:id="148"/>
    <w:p>
      <w:pPr>
        <w:ind w:left="660" w:right="220"/>
        <w:spacing w:after="0" w:line="255" w:lineRule="auto"/>
        <w:rPr>
          <w:sz w:val="20"/>
          <w:szCs w:val="20"/>
          <w:color w:val="auto"/>
        </w:rPr>
      </w:pPr>
      <w:r>
        <w:rPr>
          <w:rFonts w:ascii="Times New Roman" w:cs="Times New Roman" w:eastAsia="Times New Roman" w:hAnsi="Times New Roman"/>
          <w:sz w:val="18"/>
          <w:szCs w:val="18"/>
          <w:color w:val="auto"/>
        </w:rPr>
        <w:t>primary and secondary objectives, study endpoints, and the statistical methods to be employed. The SAP outlines the data handling procedures, data transformations, and imputation methods for missing data. Additionally, it specifies the statistical tests and models to be used, sample size calculations, and adjustments for multiple comparisons. The SAP also addresses subgroup analyses, sensitivity analyses, and any predefined interim analysis if applicable. (WBS 1.3.5.2)</w:t>
      </w:r>
    </w:p>
    <w:p>
      <w:pPr>
        <w:spacing w:after="0" w:line="3" w:lineRule="exact"/>
        <w:rPr>
          <w:sz w:val="20"/>
          <w:szCs w:val="20"/>
          <w:color w:val="auto"/>
        </w:rPr>
      </w:pPr>
    </w:p>
    <w:p>
      <w:pPr>
        <w:ind w:left="660" w:right="240" w:hanging="328"/>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specifications for biostatistical analysis will be developed. This effort involves collaboration between biostatisticians and programmers and will result in final programming specifications are established, ensuring robust and reliable data analysis for the clinical trial. (WBS 1.3.5.3)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validation will be completed to ensure the statistical methods used for data analysis are appropriate, accurate, and reliable. (WBS 1.3.5.4)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 attestation will be completed. During this process, the PI reviews and confirms the appropriateness and accuracy of the statistical methods used for data analysis. The PI then provides a formal attestation, verifying that the statistical methods are aligned with the study objectives, are appropriate for the data collected, and comply with regulatory requirements. (WBS 1.3.5.5)</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Tables, figures and listings will be generated. Once approved, the TFLs are included in the clinical study report (CSR) and submitted to regulatory authorities as part of the trial documentation, providing a comprehensive representation of the trial's results and data. (WBS 1.3.5.6)</w:t>
      </w:r>
    </w:p>
    <w:p>
      <w:pPr>
        <w:ind w:left="660" w:right="40" w:hanging="328"/>
        <w:spacing w:after="0" w:line="255"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topline data report will be prepared. This report will summarize and presents key findings and results from a clinical trial in a concise and high-level manner. This report focuses on the primary objectives and key secondary endpoints of the trial, providing a snapshot of the trial's outcomes without delving into detailed analyses or subgroup findings. (WBS 1.3.5.7)</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Vaxart will complete database lock in which includes the process of finalizing and freezing the study database to prevent further modifications to the data. (WBS 1.3.6)</w:t>
      </w:r>
    </w:p>
    <w:p>
      <w:pPr>
        <w:ind w:left="660" w:right="240" w:hanging="328"/>
        <w:spacing w:after="0" w:line="25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 lock will be initiated with the temporary suspension of data entry or editing capabilities in the study database, allowing specific authorized personnel to address critical data-related issues or queries. (WBS 1.3.6.1)</w:t>
      </w:r>
    </w:p>
    <w:p>
      <w:pPr>
        <w:ind w:left="660" w:right="80" w:hanging="328"/>
        <w:spacing w:after="0" w:line="260"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lock will be completed including the final and permanent closure of the study database after all data entry, editing, and review processes are completed. (WBS 1.3.6.2)</w:t>
      </w:r>
    </w:p>
    <w:p>
      <w:pPr>
        <w:spacing w:after="0" w:line="18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Pending BARDA and FDA approval of the safety data and DSMB recommendation for the initial 400 participant sentinel cohort, the remaining participants will be enrolled.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Regulatory (WBS 1.4)</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Vaxart will prepare FDA submissions, keep track of relevant legislation, advise on legal and scientific requirements and limitations, and provide regulatory support for the evaluation of data for this study.</w:t>
      </w:r>
    </w:p>
    <w:p>
      <w:pPr>
        <w:spacing w:after="0" w:line="1" w:lineRule="exact"/>
        <w:rPr>
          <w:sz w:val="20"/>
          <w:szCs w:val="20"/>
          <w:color w:val="auto"/>
        </w:rPr>
      </w:pPr>
    </w:p>
    <w:p>
      <w:pPr>
        <w:jc w:val="both"/>
        <w:ind w:left="740" w:right="380" w:hanging="327"/>
        <w:spacing w:after="0" w:line="250" w:lineRule="auto"/>
        <w:tabs>
          <w:tab w:leader="none" w:pos="7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FDA regulations, Vaxart will prepare and submit for this study Annual Reports, Certificate of Analysis, Protocol(s), and pharmacovigilance documents. These submissions will be submitted under US FDA IND 27602 - VXA- CoV2-</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.1-S, an oral SARS-CoV-2 vaccine E1-/E3-deleted replication defective recombinant adenovirus 5 with dsRNA adjuvant. (WBS 1.4.1)</w:t>
      </w:r>
    </w:p>
    <w:p>
      <w:pPr>
        <w:spacing w:after="0" w:line="1" w:lineRule="exact"/>
        <w:rPr>
          <w:rFonts w:ascii="Times New Roman" w:cs="Times New Roman" w:eastAsia="Times New Roman" w:hAnsi="Times New Roman"/>
          <w:sz w:val="18"/>
          <w:szCs w:val="18"/>
          <w:color w:val="auto"/>
        </w:rPr>
      </w:pPr>
    </w:p>
    <w:p>
      <w:pPr>
        <w:ind w:left="740" w:right="20" w:hanging="327"/>
        <w:spacing w:after="0" w:line="250" w:lineRule="auto"/>
        <w:tabs>
          <w:tab w:leader="none" w:pos="7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FDA regulations, Vaxart will submit all required annual regulatory submissions within [***] of the anniversary date of our approved IND 27602. This report will contain new information collected over the past year pertaining to the safety, effectiveness, and labeling of our vaccine in this study. (WBS 1.4.2)</w:t>
      </w:r>
    </w:p>
    <w:p>
      <w:pPr>
        <w:spacing w:after="0" w:line="1" w:lineRule="exact"/>
        <w:rPr>
          <w:rFonts w:ascii="Times New Roman" w:cs="Times New Roman" w:eastAsia="Times New Roman" w:hAnsi="Times New Roman"/>
          <w:sz w:val="18"/>
          <w:szCs w:val="18"/>
          <w:color w:val="auto"/>
        </w:rPr>
      </w:pPr>
    </w:p>
    <w:p>
      <w:pPr>
        <w:ind w:left="740" w:right="80" w:hanging="327"/>
        <w:spacing w:after="0" w:line="253" w:lineRule="auto"/>
        <w:tabs>
          <w:tab w:leader="none" w:pos="7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notify the appropriate regulatory authorities regarding the safety of the vaccine. The safety of the vaccine will be evaluated through the reporting of solicited symptoms of reactogenicity for one (1) week following each study drug administration. Because the vaccine contains a double stranded RNA (dsRNA) adjuvant, MAAEs will be collected through one (1) year post last dose to address the theoretical potential for induction of autoimmune or auto-inflammatory diseases, as is standard for this class of vaccines.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xml:space="preserve"> will also be monitored for exposure to SARS-CoV2 and symptomatic SARS-CoV2 infection (COVID-19). (WBS 1.4.3)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CMC (WBS 1.5) - Trial Material Manufacturing, Acquisition, Packaging &amp; Distribution</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Vaxart will complete all activities and GMP documentation, ensuring that clinical trial material will be ready to support the 400-participant sentinel study (XBB) and the 10,000 participant Ph2b head-to-head clinical trial with an mRNA comparator targeting the KP.2 COVID variant.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Trial Material Manufacturing &amp; Packaging (1.5.1)</w:t>
      </w:r>
    </w:p>
    <w:p>
      <w:pPr>
        <w:spacing w:after="0" w:line="27" w:lineRule="exact"/>
        <w:rPr>
          <w:sz w:val="20"/>
          <w:szCs w:val="20"/>
          <w:color w:val="auto"/>
        </w:rPr>
      </w:pPr>
    </w:p>
    <w:p>
      <w:pPr>
        <w:ind w:left="740" w:hanging="327"/>
        <w:spacing w:after="0"/>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KP.2 RVB (research virus bank) will be completed prior to use in GMP manufacturing of KP.2 clinical trial material.</w:t>
      </w:r>
    </w:p>
    <w:p>
      <w:pPr>
        <w:spacing w:after="0" w:line="9" w:lineRule="exact"/>
        <w:rPr>
          <w:rFonts w:ascii="Times New Roman" w:cs="Times New Roman" w:eastAsia="Times New Roman" w:hAnsi="Times New Roman"/>
          <w:sz w:val="18"/>
          <w:szCs w:val="18"/>
          <w:color w:val="auto"/>
        </w:rPr>
      </w:pPr>
    </w:p>
    <w:p>
      <w:pPr>
        <w:ind w:left="740" w:right="160" w:hanging="327"/>
        <w:spacing w:after="0" w:line="250" w:lineRule="auto"/>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KP.2 GMP Bulk Drug Substance Material will be manufactured, tested, and released with appropriate methods at sufficient quantities to ensure the supply of the entire Ph2b trial is from a single lot.</w:t>
      </w:r>
    </w:p>
    <w:p>
      <w:pPr>
        <w:ind w:left="740" w:right="120" w:hanging="327"/>
        <w:spacing w:after="0" w:line="250" w:lineRule="auto"/>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KP.2 GMP Drug Product will be manufactured, tested, and released with appropriate methods at sufficient quantities to ensure the supply of the entire Ph2b trial is from a single lot.</w:t>
      </w:r>
    </w:p>
    <w:p>
      <w:pPr>
        <w:ind w:left="740" w:hanging="327"/>
        <w:spacing w:after="0"/>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GMP material will be placed on appropriate stability studies.</w:t>
      </w:r>
    </w:p>
    <w:p>
      <w:pPr>
        <w:spacing w:after="0" w:line="9" w:lineRule="exact"/>
        <w:rPr>
          <w:rFonts w:ascii="Times New Roman" w:cs="Times New Roman" w:eastAsia="Times New Roman" w:hAnsi="Times New Roman"/>
          <w:sz w:val="18"/>
          <w:szCs w:val="18"/>
          <w:color w:val="auto"/>
        </w:rPr>
      </w:pPr>
    </w:p>
    <w:p>
      <w:pPr>
        <w:ind w:left="740" w:right="400" w:hanging="327"/>
        <w:spacing w:after="0" w:line="250" w:lineRule="auto"/>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utilize industry standard risk mitigation practices and manufacture additional clinical trial material above the amount required to supply the 10,000 participant Ph2b clinical trial.</w:t>
      </w:r>
    </w:p>
    <w:p>
      <w:pPr>
        <w:ind w:left="740" w:right="260" w:hanging="327"/>
        <w:spacing w:after="0" w:line="250" w:lineRule="auto"/>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KP.2 COVID vaccine clinical trial materials will be shipped to the depot (WBS 1.5.1.6) to allow for distribution to clinical sites (WBS 1.5.2.1).</w:t>
      </w:r>
    </w:p>
    <w:p>
      <w:pPr>
        <w:ind w:left="740" w:right="80" w:hanging="327"/>
        <w:spacing w:after="0" w:line="260" w:lineRule="auto"/>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XBB COVID vaccine clinical trial materials will be distributed to the clinical sites supporting the 400-participant safety lead in study per protocol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Comparator &amp; Placebo Acquisition &amp; Kitting (1.5.2)</w:t>
      </w:r>
    </w:p>
    <w:p>
      <w:pPr>
        <w:spacing w:after="0" w:line="27" w:lineRule="exact"/>
        <w:rPr>
          <w:sz w:val="20"/>
          <w:szCs w:val="20"/>
          <w:color w:val="auto"/>
        </w:rPr>
      </w:pPr>
    </w:p>
    <w:p>
      <w:pPr>
        <w:ind w:left="660" w:right="140" w:hanging="328"/>
        <w:spacing w:after="0" w:line="250"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perform technical management (WBS 1.5.2.1) of non-Vaxart clinical trial material acquisition, packaging, and distribution, including acquisition of the mRNA comparator, saline, and ancillary kits. (WBS 1.5.2.2).</w:t>
      </w:r>
    </w:p>
    <w:p>
      <w:pPr>
        <w:ind w:left="660" w:right="140" w:hanging="328"/>
        <w:spacing w:after="0" w:line="260"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COVID vaccine clinical trial materials will be distributed with the mRNA comparator and saline according to the milestones in Section 5 (WBS 1.5.2.3).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Storage and Distribution of Clinical Trial Materials (1.5.3)</w:t>
      </w:r>
    </w:p>
    <w:p>
      <w:pPr>
        <w:spacing w:after="0" w:line="27" w:lineRule="exact"/>
        <w:rPr>
          <w:sz w:val="20"/>
          <w:szCs w:val="20"/>
          <w:color w:val="auto"/>
        </w:rPr>
      </w:pPr>
    </w:p>
    <w:p>
      <w:pPr>
        <w:ind w:left="660" w:right="660" w:hanging="328"/>
        <w:spacing w:after="0" w:line="260"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ensure storage (1.5.3.1) of the kitted trial materials and distribution of the clinical trial materials to clinical depots and/or sites (1.5.3.2).</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Additional Characterization of Immune Responses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Vaxart will expand on the durability of the immune responses initially characterized by tracking mucosal samples from vaccinated individuals for a year, and assess cross-reactivity over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Analytical (</w:t>
      </w:r>
      <w:r>
        <w:rPr>
          <w:rFonts w:ascii="Times New Roman" w:cs="Times New Roman" w:eastAsia="Times New Roman" w:hAnsi="Times New Roman"/>
          <w:sz w:val="18"/>
          <w:szCs w:val="18"/>
          <w:b w:val="1"/>
          <w:bCs w:val="1"/>
          <w:i w:val="1"/>
          <w:iCs w:val="1"/>
          <w:color w:val="auto"/>
        </w:rPr>
        <w:t>WBS 2.1</w:t>
      </w:r>
      <w:r>
        <w:rPr>
          <w:rFonts w:ascii="Times New Roman" w:cs="Times New Roman" w:eastAsia="Times New Roman" w:hAnsi="Times New Roman"/>
          <w:sz w:val="18"/>
          <w:szCs w:val="18"/>
          <w:b w:val="1"/>
          <w:bCs w:val="1"/>
          <w:color w:val="auto"/>
        </w:rPr>
        <w:t>)</w:t>
      </w:r>
    </w:p>
    <w:p>
      <w:pPr>
        <w:sectPr>
          <w:pgSz w:w="11900" w:h="16838" w:orient="portrait"/>
          <w:cols w:equalWidth="0" w:num="1">
            <w:col w:w="11200"/>
          </w:cols>
          <w:pgMar w:left="320" w:top="121" w:right="379" w:bottom="0" w:gutter="0" w:footer="0" w:header="0"/>
        </w:sectPr>
      </w:pPr>
    </w:p>
    <w:bookmarkStart w:id="149" w:name="page150"/>
    <w:bookmarkEnd w:id="149"/>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conduct extended immune analysis of the vaccines in human subjects.</w:t>
      </w:r>
    </w:p>
    <w:p>
      <w:pPr>
        <w:spacing w:after="0" w:line="27" w:lineRule="exact"/>
        <w:rPr>
          <w:sz w:val="20"/>
          <w:szCs w:val="20"/>
          <w:color w:val="auto"/>
        </w:rPr>
      </w:pPr>
    </w:p>
    <w:p>
      <w:pPr>
        <w:ind w:left="740" w:right="100" w:hanging="327"/>
        <w:spacing w:after="0" w:line="250" w:lineRule="auto"/>
        <w:tabs>
          <w:tab w:leader="none" w:pos="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phase 1, additional samples in a small subpopulation of subjects at 3, 6 and 12 months will have been collected. The mucosal (and serum) immune responses of these samples will be measured in order to examine durability, particularly against multiple different coronaviruses as well as new SARS-CoV-2 variants. (WBS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1.1)</w:t>
      </w:r>
    </w:p>
    <w:p>
      <w:pPr>
        <w:spacing w:after="0" w:line="1" w:lineRule="exact"/>
        <w:rPr>
          <w:rFonts w:ascii="Times New Roman" w:cs="Times New Roman" w:eastAsia="Times New Roman" w:hAnsi="Times New Roman"/>
          <w:sz w:val="18"/>
          <w:szCs w:val="18"/>
          <w:color w:val="auto"/>
        </w:rPr>
      </w:pPr>
    </w:p>
    <w:p>
      <w:pPr>
        <w:ind w:left="740" w:right="180" w:hanging="327"/>
        <w:spacing w:after="0" w:line="250" w:lineRule="auto"/>
        <w:tabs>
          <w:tab w:leader="none" w:pos="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use flow cytometry to determine the changes to the memory pool in the subpopulation of participants using the samples collected in phase 1. B cell clones will be sequenced from the memory pools and used to characterize the diversity of the response based on vaccine and infection history. (WBS 2.1.2)</w:t>
      </w:r>
    </w:p>
    <w:p>
      <w:pPr>
        <w:spacing w:after="0" w:line="1" w:lineRule="exact"/>
        <w:rPr>
          <w:rFonts w:ascii="Times New Roman" w:cs="Times New Roman" w:eastAsia="Times New Roman" w:hAnsi="Times New Roman"/>
          <w:sz w:val="18"/>
          <w:szCs w:val="18"/>
          <w:color w:val="auto"/>
        </w:rPr>
      </w:pPr>
    </w:p>
    <w:p>
      <w:pPr>
        <w:ind w:left="740" w:right="300" w:hanging="327"/>
        <w:spacing w:after="0" w:line="260" w:lineRule="auto"/>
        <w:tabs>
          <w:tab w:leader="none" w:pos="7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analyze antibodies from the task in 2.1.2 and their diversity tested for binding and neutralizing various SARS-COV-2 variants and other coronaviruses. (WBS 2.1.3)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Task Area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Clinical (WBS </w:t>
      </w:r>
      <w:r>
        <w:rPr>
          <w:rFonts w:ascii="Times New Roman" w:cs="Times New Roman" w:eastAsia="Times New Roman" w:hAnsi="Times New Roman"/>
          <w:sz w:val="18"/>
          <w:szCs w:val="18"/>
          <w:b w:val="1"/>
          <w:bCs w:val="1"/>
          <w:i w:val="1"/>
          <w:iCs w:val="1"/>
          <w:color w:val="auto"/>
        </w:rPr>
        <w:t>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 will complete all required close-out procedures for the clinical trial.</w:t>
      </w:r>
    </w:p>
    <w:p>
      <w:pPr>
        <w:spacing w:after="0" w:line="9" w:lineRule="exact"/>
        <w:rPr>
          <w:sz w:val="20"/>
          <w:szCs w:val="20"/>
          <w:color w:val="auto"/>
        </w:rPr>
      </w:pPr>
    </w:p>
    <w:p>
      <w:pPr>
        <w:ind w:left="740" w:right="380" w:hanging="327"/>
        <w:spacing w:after="0" w:line="250" w:lineRule="auto"/>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complete all required reports including an amended CSR that the discusses the analysis in option 2 will be completed; a full final report describing all the Phase 2 analyses, any additional reports to BARDA and regulatory agencies on the conduct of the trial as required. (WBS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.2.1)</w:t>
      </w:r>
    </w:p>
    <w:p>
      <w:pPr>
        <w:spacing w:after="0" w:line="1" w:lineRule="exact"/>
        <w:rPr>
          <w:rFonts w:ascii="Times New Roman" w:cs="Times New Roman" w:eastAsia="Times New Roman" w:hAnsi="Times New Roman"/>
          <w:sz w:val="18"/>
          <w:szCs w:val="18"/>
          <w:color w:val="auto"/>
        </w:rPr>
      </w:pPr>
    </w:p>
    <w:p>
      <w:pPr>
        <w:ind w:left="740" w:right="120" w:hanging="327"/>
        <w:spacing w:after="0" w:line="250" w:lineRule="auto"/>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will complete site close-out and unused vaccine will be returned or destroyed; and documents will be properly shipped and stored. (WBS 2.2.2)</w:t>
      </w:r>
    </w:p>
    <w:p>
      <w:pPr>
        <w:ind w:left="740" w:right="20" w:hanging="327"/>
        <w:spacing w:after="0" w:line="250" w:lineRule="auto"/>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undertake essential document reconciliation in which records from the trial will be verified by medical monitors and database experts. Discrepancies will be resolved before finalizing the data. (WBS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.2.3)</w:t>
      </w:r>
    </w:p>
    <w:p>
      <w:pPr>
        <w:ind w:left="740" w:right="640" w:hanging="327"/>
        <w:spacing w:after="0" w:line="250" w:lineRule="auto"/>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employ an Electronic Trial Master File (eTMF) which leverages software and server technology to guide and assist the setup, collection, storage, tracking and archival of essential clinical study documents. (WBS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.2.4)</w:t>
      </w:r>
    </w:p>
    <w:p>
      <w:pPr>
        <w:ind w:left="740" w:hanging="327"/>
        <w:spacing w:after="0"/>
        <w:tabs>
          <w:tab w:leader="none" w:pos="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Vaxart will prepare an amended clinical study report which will include the additional analysis conducted under Phase 2. (WBS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 Deliverables</w:t>
      </w:r>
    </w:p>
    <w:p>
      <w:pPr>
        <w:sectPr>
          <w:pgSz w:w="11900" w:h="16877"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Meetings</w:t>
            </w:r>
          </w:p>
        </w:tc>
        <w:tc>
          <w:tcPr>
            <w:tcW w:w="2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Reporting Procedures and Due Dates</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Post Award Teleconference</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Kickoff Meeting</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Weekly Teleconference</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Technical, Subgroup, Ad Hoc</w:t>
            </w:r>
          </w:p>
        </w:tc>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Teleconference(s)</w:t>
            </w:r>
          </w:p>
        </w:tc>
        <w:tc>
          <w:tcPr>
            <w:tcW w:w="242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2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Periodic Review Meetings</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FDA Meetings and Interactions</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Daily check-in with BARDA in the event of a</w:t>
            </w: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PHE</w:t>
            </w:r>
          </w:p>
        </w:tc>
        <w:tc>
          <w:tcPr>
            <w:tcW w:w="2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-1339850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-1193800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-1048385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-902335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-619760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-473710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-328295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-45085</wp:posOffset>
            </wp:positionV>
            <wp:extent cx="71323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166" w:lineRule="exact"/>
        <w:rPr>
          <w:sz w:val="20"/>
          <w:szCs w:val="20"/>
          <w:color w:val="auto"/>
        </w:rPr>
      </w:pPr>
    </w:p>
    <w:p>
      <w:pPr>
        <w:sectPr>
          <w:pgSz w:w="11900" w:h="16877" w:orient="portrait"/>
          <w:cols w:equalWidth="0" w:num="2">
            <w:col w:w="240" w:space="460"/>
            <w:col w:w="10540"/>
          </w:cols>
          <w:pgMar w:left="320" w:top="121" w:right="339" w:bottom="0" w:gutter="0" w:footer="0" w:header="0"/>
          <w:type w:val="continuous"/>
        </w:sectPr>
      </w:pPr>
    </w:p>
    <w:p>
      <w:pPr>
        <w:ind w:left="580" w:hanging="316"/>
        <w:spacing w:after="0"/>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General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Project Management Plan (PMP)</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Gantt Chart/Timeline of the project </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Communication Plan</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Performer Locations</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Pandemic/Public Health Emergency Facility</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and Operational Management Plan</w:t>
            </w:r>
          </w:p>
        </w:tc>
        <w:tc>
          <w:tcPr>
            <w:tcW w:w="25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Request for Information (RFI) Responses</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2.9</w:t>
            </w:r>
          </w:p>
        </w:tc>
        <w:tc>
          <w:tcPr>
            <w:tcW w:w="346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Monthly &amp; Annual Technical Progress</w:t>
            </w:r>
          </w:p>
        </w:tc>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560" w:type="dxa"/>
            <w:vAlign w:val="bottom"/>
            <w:vMerge w:val="continue"/>
          </w:tcPr>
          <w:p>
            <w:pPr>
              <w:spacing w:after="0"/>
              <w:rPr>
                <w:sz w:val="10"/>
                <w:szCs w:val="10"/>
                <w:color w:val="auto"/>
              </w:rPr>
            </w:pPr>
          </w:p>
        </w:tc>
        <w:tc>
          <w:tcPr>
            <w:tcW w:w="34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Reports/Annual Meeting</w:t>
            </w:r>
          </w:p>
        </w:tc>
        <w:tc>
          <w:tcPr>
            <w:tcW w:w="2520" w:type="dxa"/>
            <w:vAlign w:val="bottom"/>
            <w:vMerge w:val="continue"/>
          </w:tcPr>
          <w:p>
            <w:pPr>
              <w:spacing w:after="0"/>
              <w:rPr>
                <w:sz w:val="10"/>
                <w:szCs w:val="10"/>
                <w:color w:val="auto"/>
              </w:rPr>
            </w:pPr>
          </w:p>
        </w:tc>
        <w:tc>
          <w:tcPr>
            <w:tcW w:w="4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vMerge w:val="continue"/>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2.10</w:t>
            </w:r>
          </w:p>
        </w:tc>
        <w:tc>
          <w:tcPr>
            <w:tcW w:w="3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Draft and Final Technical Progress Report</w:t>
            </w: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7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329"/>
        <w:spacing w:after="0"/>
        <w:tabs>
          <w:tab w:leader="none" w:pos="5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Inventory Deliverables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9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Draft and Final Nonclinical Study Report(s) [***]</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w:t>
            </w:r>
          </w:p>
        </w:tc>
        <w:tc>
          <w:tcPr>
            <w:tcW w:w="3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Nonclinical Study Protocols</w:t>
            </w:r>
          </w:p>
        </w:tc>
        <w:tc>
          <w:tcPr>
            <w:tcW w:w="2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3.3</w:t>
            </w:r>
          </w:p>
        </w:tc>
        <w:tc>
          <w:tcPr>
            <w:tcW w:w="34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Nonclinical Study Final Data Submission</w:t>
            </w:r>
          </w:p>
        </w:tc>
        <w:tc>
          <w:tcPr>
            <w:tcW w:w="2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500" w:type="dxa"/>
            <w:vAlign w:val="bottom"/>
            <w:vMerge w:val="continue"/>
          </w:tcPr>
          <w:p>
            <w:pPr>
              <w:spacing w:after="0"/>
              <w:rPr>
                <w:sz w:val="10"/>
                <w:szCs w:val="10"/>
                <w:color w:val="auto"/>
              </w:rPr>
            </w:pPr>
          </w:p>
        </w:tc>
        <w:tc>
          <w:tcPr>
            <w:tcW w:w="34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Package</w:t>
            </w:r>
          </w:p>
        </w:tc>
        <w:tc>
          <w:tcPr>
            <w:tcW w:w="2540" w:type="dxa"/>
            <w:vAlign w:val="bottom"/>
            <w:vMerge w:val="continue"/>
          </w:tcPr>
          <w:p>
            <w:pPr>
              <w:spacing w:after="0"/>
              <w:rPr>
                <w:sz w:val="10"/>
                <w:szCs w:val="10"/>
                <w:color w:val="auto"/>
              </w:rPr>
            </w:pPr>
          </w:p>
        </w:tc>
        <w:tc>
          <w:tcPr>
            <w:tcW w:w="4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0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vMerge w:val="continue"/>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316"/>
        <w:spacing w:after="0"/>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Clinical Trials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5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Clinical Trial Protocols</w:t>
            </w:r>
          </w:p>
        </w:tc>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w:t>
            </w:r>
          </w:p>
        </w:tc>
        <w:tc>
          <w:tcPr>
            <w:tcW w:w="3520" w:type="dxa"/>
            <w:vAlign w:val="bottom"/>
            <w:tcBorders>
              <w:bottom w:val="single" w:sz="8" w:color="auto"/>
            </w:tcBorders>
          </w:tcPr>
          <w:p>
            <w:pPr>
              <w:ind w:left="240"/>
              <w:spacing w:after="0" w:line="210" w:lineRule="exact"/>
              <w:rPr>
                <w:sz w:val="20"/>
                <w:szCs w:val="20"/>
                <w:color w:val="auto"/>
              </w:rPr>
            </w:pPr>
            <w:r>
              <w:rPr>
                <w:rFonts w:ascii="Times New Roman" w:cs="Times New Roman" w:eastAsia="Times New Roman" w:hAnsi="Times New Roman"/>
                <w:sz w:val="15"/>
                <w:szCs w:val="15"/>
                <w:color w:val="auto"/>
              </w:rPr>
              <w:t>Clinical Trial Documentation</w:t>
            </w:r>
            <w:r>
              <w:rPr>
                <w:rFonts w:ascii="Times New Roman" w:cs="Times New Roman" w:eastAsia="Times New Roman" w:hAnsi="Times New Roman"/>
                <w:sz w:val="24"/>
                <w:szCs w:val="24"/>
                <w:color w:val="auto"/>
                <w:vertAlign w:val="superscript"/>
              </w:rPr>
              <w:t>1</w:t>
            </w:r>
          </w:p>
        </w:tc>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35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ClinicalTrials.Gov Posting and Results</w:t>
            </w:r>
          </w:p>
        </w:tc>
        <w:tc>
          <w:tcPr>
            <w:tcW w:w="2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Reporting</w:t>
            </w:r>
          </w:p>
        </w:tc>
        <w:tc>
          <w:tcPr>
            <w:tcW w:w="2240" w:type="dxa"/>
            <w:vAlign w:val="bottom"/>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vMerge w:val="continue"/>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Draft and Final Clinical Study Report(s)</w:t>
            </w:r>
          </w:p>
        </w:tc>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Project-Specific First Site Activated for First</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ind w:left="240"/>
              <w:spacing w:after="0" w:line="162" w:lineRule="exact"/>
              <w:rPr>
                <w:sz w:val="20"/>
                <w:szCs w:val="20"/>
                <w:color w:val="auto"/>
              </w:rPr>
            </w:pPr>
            <w:r>
              <w:rPr>
                <w:rFonts w:ascii="Times New Roman" w:cs="Times New Roman" w:eastAsia="Times New Roman" w:hAnsi="Times New Roman"/>
                <w:sz w:val="18"/>
                <w:szCs w:val="18"/>
                <w:color w:val="auto"/>
              </w:rPr>
              <w:t>Subject First Visit</w:t>
            </w:r>
          </w:p>
        </w:tc>
        <w:tc>
          <w:tcPr>
            <w:tcW w:w="224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4.6</w:t>
            </w:r>
          </w:p>
        </w:tc>
        <w:tc>
          <w:tcPr>
            <w:tcW w:w="35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Clinical Report During Active Enrollment</w:t>
            </w:r>
          </w:p>
        </w:tc>
        <w:tc>
          <w:tcPr>
            <w:tcW w:w="2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3520" w:type="dxa"/>
            <w:vAlign w:val="bottom"/>
            <w:vMerge w:val="restart"/>
          </w:tcPr>
          <w:p>
            <w:pPr>
              <w:ind w:left="240"/>
              <w:spacing w:after="0" w:line="235" w:lineRule="exact"/>
              <w:rPr>
                <w:sz w:val="20"/>
                <w:szCs w:val="20"/>
                <w:color w:val="auto"/>
              </w:rPr>
            </w:pPr>
            <w:r>
              <w:rPr>
                <w:rFonts w:ascii="Times New Roman" w:cs="Times New Roman" w:eastAsia="Times New Roman" w:hAnsi="Times New Roman"/>
                <w:sz w:val="17"/>
                <w:szCs w:val="17"/>
                <w:color w:val="auto"/>
              </w:rPr>
              <w:t>Periods</w:t>
            </w:r>
            <w:r>
              <w:rPr>
                <w:rFonts w:ascii="Times New Roman" w:cs="Times New Roman" w:eastAsia="Times New Roman" w:hAnsi="Times New Roman"/>
                <w:sz w:val="27"/>
                <w:szCs w:val="27"/>
                <w:color w:val="auto"/>
                <w:vertAlign w:val="superscript"/>
              </w:rPr>
              <w:t>2</w:t>
            </w:r>
          </w:p>
        </w:tc>
        <w:tc>
          <w:tcPr>
            <w:tcW w:w="2240" w:type="dxa"/>
            <w:vAlign w:val="bottom"/>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vMerge w:val="continue"/>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4.7</w:t>
            </w:r>
          </w:p>
        </w:tc>
        <w:tc>
          <w:tcPr>
            <w:tcW w:w="35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Access to Electronic Systems Used in Trial</w:t>
            </w:r>
          </w:p>
        </w:tc>
        <w:tc>
          <w:tcPr>
            <w:tcW w:w="2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80" w:type="dxa"/>
            <w:vAlign w:val="bottom"/>
            <w:vMerge w:val="continue"/>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Conduct</w:t>
            </w:r>
          </w:p>
        </w:tc>
        <w:tc>
          <w:tcPr>
            <w:tcW w:w="2240" w:type="dxa"/>
            <w:vAlign w:val="bottom"/>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vMerge w:val="continue"/>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5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77" w:orient="portrait"/>
          <w:cols w:equalWidth="0" w:num="1">
            <w:col w:w="11240"/>
          </w:cols>
          <w:pgMar w:left="320" w:top="121" w:right="339" w:bottom="0" w:gutter="0" w:footer="0" w:header="0"/>
          <w:type w:val="continuous"/>
        </w:sectPr>
      </w:pPr>
    </w:p>
    <w:bookmarkStart w:id="150" w:name="page151"/>
    <w:bookmarkEnd w:id="150"/>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Blinded Safety Reports, Medical Data</w:t>
            </w:r>
          </w:p>
        </w:tc>
        <w:tc>
          <w:tcPr>
            <w:tcW w:w="15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 CIOMS Report, Pharmacovigilance</w:t>
            </w:r>
          </w:p>
        </w:tc>
        <w:tc>
          <w:tcPr>
            <w:tcW w:w="15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Database Listing</w:t>
            </w:r>
          </w:p>
        </w:tc>
        <w:tc>
          <w:tcPr>
            <w:tcW w:w="156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4.9</w:t>
            </w:r>
          </w:p>
        </w:tc>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Specimen Collection for Future Use</w:t>
            </w:r>
          </w:p>
        </w:tc>
        <w:tc>
          <w:tcPr>
            <w:tcW w:w="15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bottom w:val="single" w:sz="8" w:color="auto"/>
            </w:tcBorders>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4.10</w:t>
            </w:r>
          </w:p>
        </w:tc>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Clinical Trial Final Study Package</w:t>
            </w:r>
          </w:p>
        </w:tc>
        <w:tc>
          <w:tcPr>
            <w:tcW w:w="15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bottom w:val="single" w:sz="8" w:color="auto"/>
            </w:tcBorders>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4.11</w:t>
            </w:r>
          </w:p>
        </w:tc>
        <w:tc>
          <w:tcPr>
            <w:tcW w:w="34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Data Exchange Package(s) Submitted to</w:t>
            </w:r>
          </w:p>
        </w:tc>
        <w:tc>
          <w:tcPr>
            <w:tcW w:w="156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vMerge w:val="restart"/>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520" w:type="dxa"/>
            <w:vAlign w:val="bottom"/>
            <w:vMerge w:val="continue"/>
          </w:tcPr>
          <w:p>
            <w:pPr>
              <w:spacing w:after="0"/>
              <w:rPr>
                <w:sz w:val="10"/>
                <w:szCs w:val="10"/>
                <w:color w:val="auto"/>
              </w:rPr>
            </w:pP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Regulatory Agency(s) </w:t>
            </w:r>
          </w:p>
        </w:tc>
        <w:tc>
          <w:tcPr>
            <w:tcW w:w="1560" w:type="dxa"/>
            <w:vAlign w:val="bottom"/>
            <w:vMerge w:val="continue"/>
          </w:tcPr>
          <w:p>
            <w:pPr>
              <w:spacing w:after="0"/>
              <w:rPr>
                <w:sz w:val="10"/>
                <w:szCs w:val="10"/>
                <w:color w:val="auto"/>
              </w:rPr>
            </w:pPr>
          </w:p>
        </w:tc>
        <w:tc>
          <w:tcPr>
            <w:tcW w:w="5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vMerge w:val="continue"/>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4.12</w:t>
            </w:r>
          </w:p>
        </w:tc>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Clinical Trial Datasets</w:t>
            </w:r>
          </w:p>
        </w:tc>
        <w:tc>
          <w:tcPr>
            <w:tcW w:w="15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bottom w:val="single" w:sz="8" w:color="auto"/>
            </w:tcBorders>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4.13</w:t>
            </w:r>
          </w:p>
        </w:tc>
        <w:tc>
          <w:tcPr>
            <w:tcW w:w="3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Additional Data Package(s)</w:t>
            </w:r>
          </w:p>
        </w:tc>
        <w:tc>
          <w:tcPr>
            <w:tcW w:w="15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720" w:type="dxa"/>
            <w:vAlign w:val="bottom"/>
            <w:tcBorders>
              <w:bottom w:val="single" w:sz="8" w:color="auto"/>
            </w:tcBorders>
          </w:tcPr>
          <w:p>
            <w:pPr>
              <w:jc w:val="right"/>
              <w:ind w:right="4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Reporting: Quality Assurance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Quality Management Plan (QMP)</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BARDA Audit</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FDA Inspections/Site visits</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Quality Assurance Audits and Sub-performer</w:t>
            </w:r>
          </w:p>
        </w:tc>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ind w:left="240"/>
              <w:spacing w:after="0" w:line="162" w:lineRule="exact"/>
              <w:rPr>
                <w:sz w:val="20"/>
                <w:szCs w:val="20"/>
                <w:color w:val="auto"/>
              </w:rPr>
            </w:pPr>
            <w:r>
              <w:rPr>
                <w:rFonts w:ascii="Times New Roman" w:cs="Times New Roman" w:eastAsia="Times New Roman" w:hAnsi="Times New Roman"/>
                <w:sz w:val="18"/>
                <w:szCs w:val="18"/>
                <w:color w:val="auto"/>
              </w:rPr>
              <w:t>Monitoring Visits</w:t>
            </w:r>
          </w:p>
        </w:tc>
        <w:tc>
          <w:tcPr>
            <w:tcW w:w="244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Risk Management Plan (RMP)</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5.6</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Integrated Master Schedule (IMS)</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5.7</w:t>
            </w:r>
          </w:p>
        </w:tc>
        <w:tc>
          <w:tcPr>
            <w:tcW w:w="35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Deviation Notification and Mitigation</w:t>
            </w:r>
          </w:p>
        </w:tc>
        <w:tc>
          <w:tcPr>
            <w:tcW w:w="2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60" w:type="dxa"/>
            <w:vAlign w:val="bottom"/>
            <w:vMerge w:val="continue"/>
          </w:tcPr>
          <w:p>
            <w:pPr>
              <w:spacing w:after="0"/>
              <w:rPr>
                <w:sz w:val="10"/>
                <w:szCs w:val="10"/>
                <w:color w:val="auto"/>
              </w:rPr>
            </w:pPr>
          </w:p>
        </w:tc>
        <w:tc>
          <w:tcPr>
            <w:tcW w:w="3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Strategy</w:t>
            </w:r>
          </w:p>
        </w:tc>
        <w:tc>
          <w:tcPr>
            <w:tcW w:w="2440" w:type="dxa"/>
            <w:vAlign w:val="bottom"/>
            <w:vMerge w:val="continue"/>
          </w:tcPr>
          <w:p>
            <w:pPr>
              <w:spacing w:after="0"/>
              <w:rPr>
                <w:sz w:val="10"/>
                <w:szCs w:val="10"/>
                <w:color w:val="auto"/>
              </w:rPr>
            </w:pPr>
          </w:p>
        </w:tc>
        <w:tc>
          <w:tcPr>
            <w:tcW w:w="4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vMerge w:val="continue"/>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5.8</w:t>
            </w:r>
          </w:p>
        </w:tc>
        <w:tc>
          <w:tcPr>
            <w:tcW w:w="3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Incident Report</w:t>
            </w:r>
          </w:p>
        </w:tc>
        <w:tc>
          <w:tcPr>
            <w:tcW w:w="2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20" w:hanging="315"/>
        <w:spacing w:after="0"/>
        <w:tabs>
          <w:tab w:leader="none" w:pos="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R&amp;D Products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4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r>
      <w:tr>
        <w:trPr>
          <w:trHeight w:val="20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Technical Documents</w:t>
            </w:r>
          </w:p>
        </w:tc>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6.2</w:t>
            </w: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Publications</w:t>
            </w:r>
          </w:p>
        </w:tc>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Performer Clinical Publication Timeline and</w:t>
            </w:r>
          </w:p>
        </w:tc>
        <w:tc>
          <w:tcPr>
            <w:tcW w:w="2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4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USG Right to Publish Data</w:t>
            </w:r>
          </w:p>
        </w:tc>
        <w:tc>
          <w:tcPr>
            <w:tcW w:w="250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spacing w:after="0"/>
              <w:rPr>
                <w:sz w:val="18"/>
                <w:szCs w:val="18"/>
                <w:color w:val="auto"/>
              </w:rPr>
            </w:pPr>
          </w:p>
        </w:tc>
      </w:tr>
      <w:tr>
        <w:trPr>
          <w:trHeight w:val="191"/>
        </w:trPr>
        <w:tc>
          <w:tcPr>
            <w:tcW w:w="460" w:type="dxa"/>
            <w:vAlign w:val="bottom"/>
          </w:tcPr>
          <w:p>
            <w:pPr>
              <w:spacing w:after="0"/>
              <w:rPr>
                <w:sz w:val="16"/>
                <w:szCs w:val="16"/>
                <w:color w:val="auto"/>
              </w:rPr>
            </w:pPr>
          </w:p>
        </w:tc>
        <w:tc>
          <w:tcPr>
            <w:tcW w:w="35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Performer Nonclinical </w:t>
            </w:r>
          </w:p>
        </w:tc>
        <w:tc>
          <w:tcPr>
            <w:tcW w:w="2500" w:type="dxa"/>
            <w:vAlign w:val="bottom"/>
          </w:tcPr>
          <w:p>
            <w:pPr>
              <w:spacing w:after="0"/>
              <w:rPr>
                <w:sz w:val="16"/>
                <w:szCs w:val="16"/>
                <w:color w:val="auto"/>
              </w:rPr>
            </w:pPr>
          </w:p>
        </w:tc>
        <w:tc>
          <w:tcPr>
            <w:tcW w:w="4760" w:type="dxa"/>
            <w:vAlign w:val="bottom"/>
          </w:tcPr>
          <w:p>
            <w:pPr>
              <w:spacing w:after="0"/>
              <w:rPr>
                <w:sz w:val="16"/>
                <w:szCs w:val="16"/>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Publication Timeline and USG Right to</w:t>
            </w:r>
          </w:p>
        </w:tc>
        <w:tc>
          <w:tcPr>
            <w:tcW w:w="2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46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Publish Data</w:t>
            </w:r>
          </w:p>
        </w:tc>
        <w:tc>
          <w:tcPr>
            <w:tcW w:w="2500" w:type="dxa"/>
            <w:vAlign w:val="bottom"/>
            <w:tcBorders>
              <w:bottom w:val="single" w:sz="8" w:color="auto"/>
            </w:tcBorders>
          </w:tcPr>
          <w:p>
            <w:pPr>
              <w:spacing w:after="0"/>
              <w:rPr>
                <w:sz w:val="22"/>
                <w:szCs w:val="22"/>
                <w:color w:val="auto"/>
              </w:rPr>
            </w:pPr>
          </w:p>
        </w:tc>
        <w:tc>
          <w:tcPr>
            <w:tcW w:w="4760" w:type="dxa"/>
            <w:vAlign w:val="bottom"/>
            <w:tcBorders>
              <w:bottom w:val="single" w:sz="8" w:color="auto"/>
            </w:tcBorders>
          </w:tcPr>
          <w:p>
            <w:pPr>
              <w:spacing w:after="0"/>
              <w:rPr>
                <w:sz w:val="22"/>
                <w:szCs w:val="22"/>
                <w:color w:val="auto"/>
              </w:rPr>
            </w:pPr>
          </w:p>
        </w:tc>
      </w:tr>
    </w:tbl>
    <w:p>
      <w:pPr>
        <w:spacing w:after="0" w:line="198"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Deliverables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Deliverable</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Deliverable Description</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Reporting Procedures and Due Dates</w:t>
            </w:r>
          </w:p>
        </w:tc>
      </w:tr>
      <w:tr>
        <w:trPr>
          <w:trHeight w:val="21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2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Regulatory Strategy/Plan</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w:t>
            </w:r>
          </w:p>
        </w:tc>
        <w:tc>
          <w:tcPr>
            <w:tcW w:w="2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FDA Correspondence</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w:t>
            </w:r>
          </w:p>
        </w:tc>
        <w:tc>
          <w:tcPr>
            <w:tcW w:w="2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FDA Submissions</w:t>
            </w:r>
          </w:p>
        </w:tc>
        <w:tc>
          <w:tcPr>
            <w:tcW w:w="3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1000" w:hanging="331"/>
        <w:spacing w:after="0"/>
        <w:tabs>
          <w:tab w:leader="none" w:pos="10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Milestones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MS #</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Task #</w:t>
            </w:r>
          </w:p>
        </w:tc>
        <w:tc>
          <w:tcPr>
            <w:tcW w:w="45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Due Date</w:t>
            </w:r>
          </w:p>
        </w:tc>
        <w:tc>
          <w:tcPr>
            <w:tcW w:w="2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Government Funds</w:t>
            </w: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Project Management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Project Kick Off</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CRO Initiation. Subcontract Execution: [***]</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Plans</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Weekly Meetings - 110 total ($[***] ea)</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Weekly Meetings - 10 total ($[***] ea)</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Weekly Meetings – 12 additional ($[***] ea)</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Meetings at Vaxart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Subcontract – Latham</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PM Subcontract – Latham</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Risk Management</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10"/>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1.1.4</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Monthly Cost Accounting/Invoicing</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12.1</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 Invoices</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3 Additional Invoices</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12.3</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Financial Management &amp; Reporting</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Accounting Subcontract – Latham</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12.5</w:t>
            </w:r>
          </w:p>
        </w:tc>
        <w:tc>
          <w:tcPr>
            <w:tcW w:w="86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Accounting Subcontract – Latham</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Monthly Technical &amp; Business Reports</w:t>
            </w:r>
          </w:p>
        </w:tc>
        <w:tc>
          <w:tcPr>
            <w:tcW w:w="19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Analytical</w:t>
            </w:r>
          </w:p>
        </w:tc>
        <w:tc>
          <w:tcPr>
            <w:tcW w:w="1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9"/>
        </w:trPr>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1.2.1</w:t>
            </w:r>
          </w:p>
        </w:tc>
        <w:tc>
          <w:tcPr>
            <w:tcW w:w="4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Serum &amp; T Cells</w:t>
            </w:r>
          </w:p>
        </w:tc>
        <w:tc>
          <w:tcPr>
            <w:tcW w:w="1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2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spacing w:after="0"/>
              <w:rPr>
                <w:sz w:val="19"/>
                <w:szCs w:val="19"/>
                <w:color w:val="auto"/>
              </w:rPr>
            </w:pPr>
          </w:p>
        </w:tc>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Start Up Meeting</w:t>
            </w:r>
          </w:p>
        </w:tc>
        <w:tc>
          <w:tcPr>
            <w:tcW w:w="19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7"/>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w:t>
            </w: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911" w:orient="portrait"/>
          <w:cols w:equalWidth="0" w:num="1">
            <w:col w:w="11240"/>
          </w:cols>
          <w:pgMar w:left="320" w:top="121" w:right="339" w:bottom="0" w:gutter="0" w:footer="0" w:header="0"/>
        </w:sectPr>
      </w:pPr>
    </w:p>
    <w:p>
      <w:pPr>
        <w:spacing w:after="0"/>
        <w:tabs>
          <w:tab w:leader="none" w:pos="1980" w:val="left"/>
          <w:tab w:leader="none" w:pos="7120" w:val="left"/>
          <w:tab w:leader="none" w:pos="94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Log Samples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$[***]Y</w:t>
      </w:r>
    </w:p>
    <w:p>
      <w:pPr>
        <w:sectPr>
          <w:pgSz w:w="11900" w:h="16911" w:orient="portrait"/>
          <w:cols w:equalWidth="0" w:num="1">
            <w:col w:w="11240"/>
          </w:cols>
          <w:pgMar w:left="320" w:top="121" w:right="339" w:bottom="0" w:gutter="0" w:footer="0" w:header="0"/>
          <w:type w:val="continuous"/>
        </w:sectPr>
      </w:pPr>
    </w:p>
    <w:bookmarkStart w:id="151" w:name="page152"/>
    <w:bookmarkEnd w:id="151"/>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w:t>
            </w:r>
          </w:p>
        </w:tc>
        <w:tc>
          <w:tcPr>
            <w:tcW w:w="50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Complete Sample Shipment</w:t>
            </w:r>
          </w:p>
        </w:tc>
        <w:tc>
          <w:tcPr>
            <w:tcW w:w="184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Results Tabulated &amp; Sent to Vaxart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Mucosal Analysis</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Start Up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18.1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Initial Start Up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Order &amp; Receive Materials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Controls &amp; Qualification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Complete Nasal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Complete Saliva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Complete additional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Infection &amp; Efficacy</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Start Up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Task Kick-Off</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Lab Kit Replenishment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Lab Kit Replenishment– first shipment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to Central Lab Shipment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to Central Lab Shipment – first shipments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Central Lab: 3 shipments / 6 months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Statistical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29</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Analysis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30</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Phase 2b Relative Efficacy &amp; Infectious Report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Correlates</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Machine Learning &amp; Programming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Statistical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Verification / Analysis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Correlates of Protection Report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1.3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Clinical</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1.3.1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Site Start Up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Essential Documents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Essential Documents 50%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36</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Contracts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Regulatory Binders Complete</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Regulatory Binders Draft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Initiation Visits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SIV – Initial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SIV – Additional Sites 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SIV – Additional Sites 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39</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IP Shipments to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39.1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IP Shipment to Sites – Initial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Lab &amp; Other Supplies to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Lab &amp; Other Supplies to Sites – Initial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Study Meetings/Training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Study Meetings/Training – Initial Sites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1.3.2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Enrollment</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Pre-screening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Screening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Randomization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Randomization – 400 subjects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1.3.3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Clinical Conduct</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45</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1st Person In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46</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Biosample Collection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46.1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Biosample Collection – 400 subjects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Interim Analysis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Source Data Verification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SDV – 400 subjects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Sites Supplies Management</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Supplies Management through 1/31/2025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Site Supplies Management from 2/1/2025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First 2500 Participants Dosed</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Second 2500 Participants Dosed</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Third 2500 Participants Dosed</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Final 2500 Participants Dosed</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Conclusion of Follow Up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Unblinded Monitoring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52.1</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Unblinded Monitoring through 1/31/2025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52.2</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Unblinded Monitoring from 2/1/2025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1.3.4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Site Monitoring</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Routine Monitoring Visit - 2-3 Visits Per Site (360 visits)</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54</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Routine Monitoring Visits, Quarter 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Routine Monitoring Visits, Quarter 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56</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Routine Monitoring Visits, Quarter 3</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w:t>
            </w:r>
          </w:p>
        </w:tc>
        <w:tc>
          <w:tcPr>
            <w:tcW w:w="5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Routine Monitoring Visits, Quarter 4</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77" w:orient="portrait"/>
          <w:cols w:equalWidth="0" w:num="1">
            <w:col w:w="11240"/>
          </w:cols>
          <w:pgMar w:left="320" w:top="120" w:right="339" w:bottom="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6</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7</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8</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9</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10</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64</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11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Routine Monitoring Visits, Quarter 12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1.3.5</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Data Management / Statistics</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Statistical Analysis Plan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66.1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SAP – Initial Work</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Programming Specification, Dvlpt, &amp; Review</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67.1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line="210" w:lineRule="exact"/>
              <w:rPr>
                <w:sz w:val="20"/>
                <w:szCs w:val="20"/>
                <w:color w:val="auto"/>
              </w:rPr>
            </w:pPr>
            <w:r>
              <w:rPr>
                <w:rFonts w:ascii="Times New Roman" w:cs="Times New Roman" w:eastAsia="Times New Roman" w:hAnsi="Times New Roman"/>
                <w:sz w:val="15"/>
                <w:szCs w:val="15"/>
                <w:color w:val="auto"/>
              </w:rPr>
              <w:t>Set up of TLF shells for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5"/>
                <w:szCs w:val="15"/>
                <w:color w:val="auto"/>
              </w:rPr>
              <w:t xml:space="preserve"> DSMB review</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67.2</w:t>
            </w:r>
          </w:p>
        </w:tc>
        <w:tc>
          <w:tcPr>
            <w:tcW w:w="1160" w:type="dxa"/>
            <w:vAlign w:val="bottom"/>
          </w:tcPr>
          <w:p>
            <w:pPr>
              <w:spacing w:after="0"/>
              <w:rPr>
                <w:sz w:val="16"/>
                <w:szCs w:val="16"/>
                <w:color w:val="auto"/>
              </w:rPr>
            </w:pPr>
          </w:p>
        </w:tc>
        <w:tc>
          <w:tcPr>
            <w:tcW w:w="49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Stats reprogramming for kit size change, 5 blocks vs 10</w:t>
            </w:r>
          </w:p>
        </w:tc>
        <w:tc>
          <w:tcPr>
            <w:tcW w:w="1840" w:type="dxa"/>
            <w:vAlign w:val="bottom"/>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ind w:right="12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blocks</w:t>
            </w:r>
          </w:p>
        </w:tc>
        <w:tc>
          <w:tcPr>
            <w:tcW w:w="18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Method Validation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TFL Generation</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TLF Generation for DSMB Review</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69.2</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TLF Generation for remaining trial</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1.3.6</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Database Lock</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Soft Lock</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Hard Lock</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Data Safety Monitoring Board</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72</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Meetings (6/14/2024-11/23/2026)</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76</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79</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DSMB Meeting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BARDA Update Meetings</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83</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Year 1 Meeting - BARDA</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84</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Year 2 Meeting - BARDA</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85</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Year 3 Meeting - BARDA</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Annual Report 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Annual Report 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Annual Report 3</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Regulatory (6/2024-7/1/2027)</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FDA Annual Report 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FDA Annual Report 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91</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FDA Annual Report 3</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92</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1.4.1</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93</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3</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4</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5</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6</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98</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7</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8</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9</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10</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11</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Regulatory Interactions - Quarter 12</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CMC / KP.2 Manufacturing</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1.5.1.1</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Manufacturing Start - </w:t>
            </w:r>
            <w:r>
              <w:rPr>
                <w:rFonts w:ascii="Times New Roman" w:cs="Times New Roman" w:eastAsia="Times New Roman" w:hAnsi="Times New Roman"/>
                <w:sz w:val="18"/>
                <w:szCs w:val="18"/>
                <w:b w:val="1"/>
                <w:bCs w:val="1"/>
                <w:color w:val="auto"/>
              </w:rPr>
              <w:t>FFP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Research Virus Bank manufacturing</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KP.2 Bulk Drug Substance manufacture, test, and release</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1.5.1.3.1</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Lot A - </w:t>
            </w:r>
            <w:r>
              <w:rPr>
                <w:rFonts w:ascii="Times New Roman" w:cs="Times New Roman" w:eastAsia="Times New Roman" w:hAnsi="Times New Roman"/>
                <w:sz w:val="18"/>
                <w:szCs w:val="18"/>
                <w:b w:val="1"/>
                <w:bCs w:val="1"/>
                <w:color w:val="auto"/>
              </w:rPr>
              <w:t>FFP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1.5.1.3.2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Lot B</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KP.2 GMP Drug Product manufacture, test, and release</w:t>
            </w:r>
          </w:p>
        </w:tc>
        <w:tc>
          <w:tcPr>
            <w:tcW w:w="18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1.5.1.4.1</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Lot A - </w:t>
            </w:r>
            <w:r>
              <w:rPr>
                <w:rFonts w:ascii="Times New Roman" w:cs="Times New Roman" w:eastAsia="Times New Roman" w:hAnsi="Times New Roman"/>
                <w:sz w:val="18"/>
                <w:szCs w:val="18"/>
                <w:b w:val="1"/>
                <w:bCs w:val="1"/>
                <w:color w:val="auto"/>
              </w:rPr>
              <w:t>FFP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1.5.1.4.2</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Lot B - </w:t>
            </w:r>
            <w:r>
              <w:rPr>
                <w:rFonts w:ascii="Times New Roman" w:cs="Times New Roman" w:eastAsia="Times New Roman" w:hAnsi="Times New Roman"/>
                <w:sz w:val="18"/>
                <w:szCs w:val="18"/>
                <w:b w:val="1"/>
                <w:bCs w:val="1"/>
                <w:color w:val="auto"/>
              </w:rPr>
              <w:t>FFP</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w:t>
            </w: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1.5.1.5</w:t>
            </w: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Stability Studies</w:t>
            </w:r>
          </w:p>
        </w:tc>
        <w:tc>
          <w:tcPr>
            <w:tcW w:w="18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tcPr>
          <w:p>
            <w:pPr>
              <w:spacing w:after="0"/>
              <w:rPr>
                <w:sz w:val="18"/>
                <w:szCs w:val="18"/>
                <w:color w:val="auto"/>
              </w:rPr>
            </w:pPr>
          </w:p>
        </w:tc>
      </w:tr>
      <w:tr>
        <w:trPr>
          <w:trHeight w:val="187"/>
        </w:trPr>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111</w:t>
            </w:r>
          </w:p>
        </w:tc>
        <w:tc>
          <w:tcPr>
            <w:tcW w:w="11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1.5.1.6</w:t>
            </w:r>
          </w:p>
        </w:tc>
        <w:tc>
          <w:tcPr>
            <w:tcW w:w="494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color w:val="auto"/>
              </w:rPr>
              <w:t>Labeling, Packaging and Shipment to Depot (Vaxart KP.2</w:t>
            </w:r>
          </w:p>
        </w:tc>
        <w:tc>
          <w:tcPr>
            <w:tcW w:w="1840" w:type="dxa"/>
            <w:vAlign w:val="bottom"/>
          </w:tcPr>
          <w:p>
            <w:pPr>
              <w:jc w:val="right"/>
              <w:ind w:right="87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ind w:right="1090"/>
              <w:spacing w:after="0" w:line="188" w:lineRule="exact"/>
              <w:rPr>
                <w:sz w:val="20"/>
                <w:szCs w:val="20"/>
                <w:color w:val="auto"/>
              </w:rPr>
            </w:pPr>
            <w:r>
              <w:rPr>
                <w:rFonts w:ascii="Times New Roman" w:cs="Times New Roman" w:eastAsia="Times New Roman" w:hAnsi="Times New Roman"/>
                <w:sz w:val="18"/>
                <w:szCs w:val="18"/>
                <w:color w:val="auto"/>
              </w:rPr>
              <w:t>$[***]Y</w:t>
            </w:r>
          </w:p>
        </w:tc>
      </w:tr>
      <w:tr>
        <w:trPr>
          <w:trHeight w:val="238"/>
        </w:trPr>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xml:space="preserve">Product) - </w:t>
            </w:r>
            <w:r>
              <w:rPr>
                <w:rFonts w:ascii="Times New Roman" w:cs="Times New Roman" w:eastAsia="Times New Roman" w:hAnsi="Times New Roman"/>
                <w:sz w:val="18"/>
                <w:szCs w:val="18"/>
                <w:b w:val="1"/>
                <w:bCs w:val="1"/>
                <w:color w:val="auto"/>
              </w:rPr>
              <w:t>FFP</w:t>
            </w:r>
          </w:p>
        </w:tc>
        <w:tc>
          <w:tcPr>
            <w:tcW w:w="18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r>
      <w:tr>
        <w:trPr>
          <w:trHeight w:val="2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1.5.2.1</w:t>
            </w:r>
          </w:p>
        </w:tc>
        <w:tc>
          <w:tcPr>
            <w:tcW w:w="4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Technical Management of Non-Vaxart Trial Material</w:t>
            </w:r>
          </w:p>
        </w:tc>
        <w:tc>
          <w:tcPr>
            <w:tcW w:w="18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ind w:right="109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Y</w:t>
            </w:r>
          </w:p>
        </w:tc>
      </w:tr>
      <w:tr>
        <w:trPr>
          <w:trHeight w:val="162"/>
        </w:trPr>
        <w:tc>
          <w:tcPr>
            <w:tcW w:w="5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ind w:left="300"/>
              <w:spacing w:after="0" w:line="162" w:lineRule="exact"/>
              <w:rPr>
                <w:sz w:val="20"/>
                <w:szCs w:val="20"/>
                <w:color w:val="auto"/>
              </w:rPr>
            </w:pPr>
            <w:r>
              <w:rPr>
                <w:rFonts w:ascii="Times New Roman" w:cs="Times New Roman" w:eastAsia="Times New Roman" w:hAnsi="Times New Roman"/>
                <w:sz w:val="18"/>
                <w:szCs w:val="18"/>
                <w:color w:val="auto"/>
              </w:rPr>
              <w:t>Acquisition, Packaging &amp; Distribution</w:t>
            </w:r>
          </w:p>
        </w:tc>
        <w:tc>
          <w:tcPr>
            <w:tcW w:w="18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1" w:right="33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113.1</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1.5.2.2.1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Acquisition of mRNA Comparator (First 3,750 PFS)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113.2</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1.5.2.2.1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Acquisition of mRNA Comparator (Additional 3,750 PFS)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1.5.2.2.2</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Acquisition of Saline</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1.5.2.2.3</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Acquisition of Ancillary Kits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116.1</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1.5.2.3.1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Kitting of mRNA Comparator (First 3,750 PFS)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116.2</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1.5.2.3.1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Kitting of mRNA Comparator (Additional 3,750 PFS)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1.5.2.3.2</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Kitting of Saline</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118</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1.5.3.1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Storage</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119</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1.5.3.2</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Distribution to Clinical Sites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$[***]Y</w:t>
            </w:r>
          </w:p>
        </w:tc>
      </w:tr>
      <w:tr>
        <w:trPr>
          <w:trHeight w:val="210"/>
        </w:trPr>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9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Kick Off / Program Initiation</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Materials &amp; Supplies Acquisition</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122</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Sample Processing</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123</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Durability Sample Analysis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124</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Flow Analysis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1.1.2</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Sequence Memory Cells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Produce Clones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127</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Complete Clone Analysis</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Phase 2 Final Report</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Final Technical and Business Status Report</w:t>
            </w: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Contract Type</w:t>
            </w:r>
          </w:p>
        </w:tc>
        <w:tc>
          <w:tcPr>
            <w:tcW w:w="276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CPFF/FFP</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Data Rights</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Vaxart has filed broad domestic and international patents covering its proprietary technology and creations for oral vaccination using adenovirus and TLR3 (US patents 7,879,602 and 8,222,224). Vaxart has also filed for patent protection on their COVID-19 vaccine candidates. All intellectual property is fully owned by Vaxart, without any encumbrances.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Vaxart anticipates that it will utilize intellectual property (including patented inventions) in the performance of any contract that either has been developed at private expense (and in which Vaxart has ownership in the case of patented invention pursuant to FAR 52.227-11 or data pursuant to FAR 52.227-14), developed by a third-party (in which Vaxart has appropriate license rights) or pursuant to a prior government contract (in which case Vaxart has ownership rights as determined by that contract). Vaxart will provide a more detailed statement of rights in intellectual property for government review and approval (including any declarations of rights in intellectual property by Vaxart’s subcontractors) and does not anticipate any impediments in Vaxart’s ability to develop the vaccine technology based upon intellectual property that will be utilized in performance.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Technical Data to Be Furnished withBasis for Assertion</w:t>
            </w:r>
          </w:p>
        </w:tc>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Asserted Rights</w:t>
            </w:r>
          </w:p>
        </w:tc>
        <w:tc>
          <w:tcPr>
            <w:tcW w:w="2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Name of Asserting</w:t>
            </w: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Milestone Affected</w:t>
            </w:r>
          </w:p>
        </w:tc>
      </w:tr>
      <w:tr>
        <w:trPr>
          <w:trHeight w:val="238"/>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Restrictions</w:t>
            </w:r>
          </w:p>
        </w:tc>
        <w:tc>
          <w:tcPr>
            <w:tcW w:w="29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2180" w:type="dxa"/>
            <w:vAlign w:val="bottom"/>
            <w:tcBorders>
              <w:bottom w:val="single" w:sz="8" w:color="auto"/>
            </w:tcBorders>
          </w:tcPr>
          <w:p>
            <w:pPr>
              <w:spacing w:after="0"/>
              <w:rPr>
                <w:sz w:val="20"/>
                <w:szCs w:val="20"/>
                <w:color w:val="auto"/>
              </w:rPr>
            </w:pPr>
          </w:p>
        </w:tc>
      </w:tr>
      <w:tr>
        <w:trPr>
          <w:trHeight w:val="187"/>
        </w:trPr>
        <w:tc>
          <w:tcPr>
            <w:tcW w:w="1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ind w:left="940"/>
              <w:spacing w:after="0" w:line="188" w:lineRule="exact"/>
              <w:rPr>
                <w:sz w:val="20"/>
                <w:szCs w:val="20"/>
                <w:color w:val="auto"/>
              </w:rPr>
            </w:pPr>
            <w:r>
              <w:rPr>
                <w:rFonts w:ascii="Times New Roman" w:cs="Times New Roman" w:eastAsia="Times New Roman" w:hAnsi="Times New Roman"/>
                <w:sz w:val="18"/>
                <w:szCs w:val="18"/>
                <w:b w:val="1"/>
                <w:bCs w:val="1"/>
                <w:color w:val="auto"/>
              </w:rPr>
              <w:t>Vaxart</w:t>
            </w:r>
          </w:p>
        </w:tc>
        <w:tc>
          <w:tcPr>
            <w:tcW w:w="2060" w:type="dxa"/>
            <w:vAlign w:val="bottom"/>
          </w:tcPr>
          <w:p>
            <w:pPr>
              <w:ind w:left="500"/>
              <w:spacing w:after="0" w:line="188" w:lineRule="exact"/>
              <w:rPr>
                <w:sz w:val="20"/>
                <w:szCs w:val="20"/>
                <w:color w:val="auto"/>
              </w:rPr>
            </w:pPr>
            <w:r>
              <w:rPr>
                <w:rFonts w:ascii="Times New Roman" w:cs="Times New Roman" w:eastAsia="Times New Roman" w:hAnsi="Times New Roman"/>
                <w:sz w:val="18"/>
                <w:szCs w:val="18"/>
                <w:b w:val="1"/>
                <w:bCs w:val="1"/>
                <w:color w:val="auto"/>
              </w:rPr>
              <w:t>Limited rights</w:t>
            </w:r>
          </w:p>
        </w:tc>
        <w:tc>
          <w:tcPr>
            <w:tcW w:w="222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Vaxart, Inc.</w:t>
            </w:r>
          </w:p>
        </w:tc>
        <w:tc>
          <w:tcPr>
            <w:tcW w:w="218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188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background</w:t>
            </w:r>
          </w:p>
        </w:tc>
      </w:tr>
      <w:tr>
        <w:trPr>
          <w:trHeight w:val="216"/>
        </w:trPr>
        <w:tc>
          <w:tcPr>
            <w:tcW w:w="188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9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contract at</w:t>
            </w:r>
          </w:p>
        </w:tc>
        <w:tc>
          <w:tcPr>
            <w:tcW w:w="2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8"/>
        </w:trPr>
        <w:tc>
          <w:tcPr>
            <w:tcW w:w="18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private expense</w:t>
            </w:r>
          </w:p>
        </w:tc>
        <w:tc>
          <w:tcPr>
            <w:tcW w:w="20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88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22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Jurisdiction</w:t>
            </w:r>
          </w:p>
        </w:tc>
      </w:tr>
      <w:tr>
        <w:trPr>
          <w:trHeight w:val="210"/>
        </w:trPr>
        <w:tc>
          <w:tcPr>
            <w:tcW w:w="29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Vaxart Biosciences, Inc.</w:t>
            </w:r>
          </w:p>
        </w:tc>
        <w:tc>
          <w:tcPr>
            <w:tcW w:w="3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Biota Holdings Pty, Ltd.</w:t>
            </w:r>
          </w:p>
        </w:tc>
        <w:tc>
          <w:tcPr>
            <w:tcW w:w="3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Biota Scientific Management Pty, Ltd.</w:t>
            </w:r>
          </w:p>
        </w:tc>
        <w:tc>
          <w:tcPr>
            <w:tcW w:w="3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0120"/>
          </w:cols>
          <w:pgMar w:left="144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333-270671, 333-239751 and 333-228910) and Form S-8 (Nos. 333-267984, 333-257245, 333-239727, 333-231013, 333-225475, 333-215141, 333-188111, 333-143238, 333-277944 and 333-280669) of Vaxart, Inc. of our report dated March 20, 2025, which includes an explanatory paragraph regarding Vaxart, Inc.’s ability to continue as a going concern, relating to the consolidated financial statements of Vaxart, Inc. as of and for the years ended December 31, 2024 and 2023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WithumSmith+Brown,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Lo, certify that:</w:t>
      </w:r>
    </w:p>
    <w:p>
      <w:pPr>
        <w:spacing w:after="0" w:line="225"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Vaxart,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Steven Lo</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Lee, certify that:</w:t>
      </w:r>
    </w:p>
    <w:p>
      <w:pPr>
        <w:spacing w:after="0" w:line="225" w:lineRule="exact"/>
        <w:rPr>
          <w:sz w:val="20"/>
          <w:szCs w:val="20"/>
          <w:color w:val="auto"/>
        </w:rPr>
      </w:pPr>
    </w:p>
    <w:p>
      <w:pPr>
        <w:ind w:left="560" w:hanging="552"/>
        <w:spacing w:after="0"/>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Vaxart, Inc.;</w:t>
      </w:r>
    </w:p>
    <w:p>
      <w:pPr>
        <w:spacing w:after="0" w:line="225" w:lineRule="exact"/>
        <w:rPr>
          <w:rFonts w:ascii="Times New Roman" w:cs="Times New Roman" w:eastAsia="Times New Roman" w:hAnsi="Times New Roman"/>
          <w:sz w:val="18"/>
          <w:szCs w:val="18"/>
          <w:color w:val="auto"/>
        </w:rPr>
      </w:pPr>
    </w:p>
    <w:p>
      <w:pPr>
        <w:jc w:val="both"/>
        <w:ind w:left="560" w:hanging="552"/>
        <w:spacing w:after="0" w:line="266"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20" w:hanging="559"/>
        <w:spacing w:after="0" w:line="266"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60" w:hanging="552"/>
        <w:spacing w:after="0" w:line="282" w:lineRule="auto"/>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20" w:hanging="559"/>
        <w:spacing w:after="0" w:line="282" w:lineRule="auto"/>
        <w:tabs>
          <w:tab w:leader="none" w:pos="11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Phillip Lee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58" w:name="page159"/>
    <w:bookmarkEnd w:id="15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Steven Lo, President and Chief Executive Officer of Vaxart, Inc. (the “Company”), and Phillip Lee, Chief Financial Officer of the Company, each hereby certifies that, to his knowledge:</w:t>
      </w:r>
    </w:p>
    <w:p>
      <w:pPr>
        <w:spacing w:after="0" w:line="176" w:lineRule="exact"/>
        <w:rPr>
          <w:sz w:val="20"/>
          <w:szCs w:val="20"/>
          <w:color w:val="auto"/>
        </w:rPr>
      </w:pPr>
    </w:p>
    <w:p>
      <w:pPr>
        <w:ind w:left="500" w:hanging="492"/>
        <w:spacing w:after="0" w:line="282" w:lineRule="auto"/>
        <w:tabs>
          <w:tab w:leader="none" w:pos="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2024,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at the end of the period covered by the Report and results of operations of the Company for the period covered by the Report.</w:t>
      </w:r>
    </w:p>
    <w:p>
      <w:pPr>
        <w:spacing w:after="0" w:line="200" w:lineRule="exact"/>
        <w:rPr>
          <w:sz w:val="20"/>
          <w:szCs w:val="20"/>
          <w:color w:val="auto"/>
        </w:rPr>
      </w:pPr>
    </w:p>
    <w:p>
      <w:pPr>
        <w:spacing w:after="0" w:line="394"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tab/>
        <w:t>/s/ STEVEN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Steven Lo</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March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Phillip Lee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18 U.S.C. § 1350 has been provided to Vaxart, Inc. and will be retained by Vaxart, Inc. and furnished to the Securities and Exchange Commission or its staff upon request.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1)"/>
      <w:numFmt w:val="lowerRoman"/>
      <w:start w:val="2"/>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lvl w:ilvl="1">
      <w:lvlJc w:val="left"/>
      <w:lvlText w:val="●"/>
      <w:numFmt w:val="bullet"/>
      <w:start w:val="1"/>
    </w:lvl>
  </w:abstractNum>
  <w:abstractNum w:abstractNumId="43">
    <w:nsid w:val="8F2B15E"/>
    <w:multiLevelType w:val="hybridMultilevel"/>
    <w:lvl w:ilvl="0">
      <w:lvlJc w:val="left"/>
      <w:lvlText w:val="(%1)"/>
      <w:numFmt w:val="lowerRoman"/>
      <w:start w:val="1"/>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Letter"/>
      <w:start w:val="2"/>
    </w:lvl>
  </w:abstractNum>
  <w:abstractNum w:abstractNumId="46">
    <w:nsid w:val="68EB2F63"/>
    <w:multiLevelType w:val="hybridMultilevel"/>
    <w:lvl w:ilvl="0">
      <w:lvlJc w:val="left"/>
      <w:lvlText w:val="(%1)"/>
      <w:numFmt w:val="lowerLetter"/>
      <w:start w:val="3"/>
    </w:lvl>
  </w:abstractNum>
  <w:abstractNum w:abstractNumId="47">
    <w:nsid w:val="4962813B"/>
    <w:multiLevelType w:val="hybridMultilevel"/>
    <w:lvl w:ilvl="0">
      <w:lvlJc w:val="left"/>
      <w:lvlText w:val="(%1)"/>
      <w:numFmt w:val="lowerLetter"/>
      <w:start w:val="6"/>
    </w:lvl>
  </w:abstractNum>
  <w:abstractNum w:abstractNumId="48">
    <w:nsid w:val="60B6DF70"/>
    <w:multiLevelType w:val="hybridMultilevel"/>
    <w:lvl w:ilvl="0">
      <w:lvlJc w:val="left"/>
      <w:lvlText w:val="(%1)"/>
      <w:numFmt w:val="lowerLetter"/>
      <w:start w:val="7"/>
    </w:lvl>
  </w:abstractNum>
  <w:abstractNum w:abstractNumId="49">
    <w:nsid w:val="6A5EE64"/>
    <w:multiLevelType w:val="hybridMultilevel"/>
    <w:lvl w:ilvl="0">
      <w:lvlJc w:val="left"/>
      <w:lvlText w:val="(%1)"/>
      <w:numFmt w:val="lowerLetter"/>
      <w:start w:val="8"/>
    </w:lvl>
  </w:abstractNum>
  <w:abstractNum w:abstractNumId="50">
    <w:nsid w:val="14330624"/>
    <w:multiLevelType w:val="hybridMultilevel"/>
    <w:lvl w:ilvl="0">
      <w:lvlJc w:val="left"/>
      <w:lvlText w:val="(%1)"/>
      <w:numFmt w:val="lowerRoman"/>
      <w:start w:val="1"/>
    </w:lvl>
  </w:abstractNum>
  <w:abstractNum w:abstractNumId="51">
    <w:nsid w:val="7FFFCA11"/>
    <w:multiLevelType w:val="hybridMultilevel"/>
    <w:lvl w:ilvl="0">
      <w:lvlJc w:val="left"/>
      <w:lvlText w:val="(%1)"/>
      <w:numFmt w:val="lowerLetter"/>
      <w:start w:val="10"/>
    </w:lvl>
  </w:abstractNum>
  <w:abstractNum w:abstractNumId="52">
    <w:nsid w:val="1A27709E"/>
    <w:multiLevelType w:val="hybridMultilevel"/>
    <w:lvl w:ilvl="0">
      <w:lvlJc w:val="left"/>
      <w:lvlText w:val="(%1)"/>
      <w:numFmt w:val="lowerLetter"/>
      <w:start w:val="11"/>
    </w:lvl>
  </w:abstractNum>
  <w:abstractNum w:abstractNumId="53">
    <w:nsid w:val="71EA1109"/>
    <w:multiLevelType w:val="hybridMultilevel"/>
    <w:lvl w:ilvl="0">
      <w:lvlJc w:val="left"/>
      <w:lvlText w:val="(%1)"/>
      <w:numFmt w:val="lowerLetter"/>
      <w:start w:val="1"/>
    </w:lvl>
  </w:abstractNum>
  <w:abstractNum w:abstractNumId="54">
    <w:nsid w:val="100F59DC"/>
    <w:multiLevelType w:val="hybridMultilevel"/>
    <w:lvl w:ilvl="0">
      <w:lvlJc w:val="left"/>
      <w:lvlText w:val="(%1)"/>
      <w:numFmt w:val="lowerLetter"/>
      <w:start w:val="2"/>
    </w:lvl>
  </w:abstractNum>
  <w:abstractNum w:abstractNumId="55">
    <w:nsid w:val="7FB7E0AA"/>
    <w:multiLevelType w:val="hybridMultilevel"/>
    <w:lvl w:ilvl="0">
      <w:lvlJc w:val="left"/>
      <w:lvlText w:val="(%1)"/>
      <w:numFmt w:val="lowerLetter"/>
      <w:start w:val="3"/>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2"/>
    </w:lvl>
  </w:abstractNum>
  <w:abstractNum w:abstractNumId="58">
    <w:nsid w:val="94211F2"/>
    <w:multiLevelType w:val="hybridMultilevel"/>
    <w:lvl w:ilvl="0">
      <w:lvlJc w:val="left"/>
      <w:lvlText w:val="(%1)"/>
      <w:numFmt w:val="lowerLetter"/>
      <w:start w:val="3"/>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6"/>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1)"/>
      <w:numFmt w:val="lowerRoman"/>
      <w:start w:val="10"/>
    </w:lvl>
  </w:abstractNum>
  <w:abstractNum w:abstractNumId="65">
    <w:nsid w:val="74DE0EE3"/>
    <w:multiLevelType w:val="hybridMultilevel"/>
    <w:lvl w:ilvl="0">
      <w:lvlJc w:val="left"/>
      <w:lvlText w:val="(%1)"/>
      <w:numFmt w:val="decimal"/>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12"/>
    </w:lvl>
  </w:abstractNum>
  <w:abstractNum w:abstractNumId="69">
    <w:nsid w:val="4A2AC315"/>
    <w:multiLevelType w:val="hybridMultilevel"/>
    <w:lvl w:ilvl="0">
      <w:lvlJc w:val="left"/>
      <w:lvlText w:val="(%1)"/>
      <w:numFmt w:val="lowerLetter"/>
      <w:start w:val="1"/>
    </w:lvl>
  </w:abstractNum>
  <w:abstractNum w:abstractNumId="70">
    <w:nsid w:val="39EE015C"/>
    <w:multiLevelType w:val="hybridMultilevel"/>
    <w:lvl w:ilvl="0">
      <w:lvlJc w:val="left"/>
      <w:lvlText w:val="(%1)"/>
      <w:numFmt w:val="lowerLetter"/>
      <w:start w:val="1"/>
    </w:lvl>
  </w:abstractNum>
  <w:abstractNum w:abstractNumId="71">
    <w:nsid w:val="57FC4FBB"/>
    <w:multiLevelType w:val="hybridMultilevel"/>
    <w:lvl w:ilvl="0">
      <w:lvlJc w:val="left"/>
      <w:lvlText w:val="*"/>
      <w:numFmt w:val="bullet"/>
      <w:start w:val="1"/>
    </w:lvl>
    <w:lvl w:ilvl="1">
      <w:lvlJc w:val="left"/>
      <w:lvlText w:val="%2"/>
      <w:numFmt w:val="decimal"/>
      <w:start w:val="104"/>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1."/>
      <w:numFmt w:val="decimal"/>
      <w:start w:val="4"/>
    </w:lvl>
  </w:abstractNum>
  <w:abstractNum w:abstractNumId="81">
    <w:nsid w:val="488AC1A"/>
    <w:multiLevelType w:val="hybridMultilevel"/>
    <w:lvl w:ilvl="0">
      <w:lvlJc w:val="left"/>
      <w:lvlText w:val="%1."/>
      <w:numFmt w:val="decimal"/>
      <w:start w:val="5"/>
    </w:lvl>
  </w:abstractNum>
  <w:abstractNum w:abstractNumId="82">
    <w:nsid w:val="5FB8011C"/>
    <w:multiLevelType w:val="hybridMultilevel"/>
    <w:lvl w:ilvl="0">
      <w:lvlJc w:val="left"/>
      <w:lvlText w:val="●"/>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
      <w:numFmt w:val="bullet"/>
      <w:start w:val="1"/>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
      <w:numFmt w:val="bullet"/>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
      <w:numFmt w:val="bullet"/>
      <w:start w:val="1"/>
    </w:lvl>
  </w:abstractNum>
  <w:abstractNum w:abstractNumId="102">
    <w:nsid w:val="288F1A34"/>
    <w:multiLevelType w:val="hybridMultilevel"/>
    <w:lvl w:ilvl="0">
      <w:lvlJc w:val="left"/>
      <w:lvlText w:val="●"/>
      <w:numFmt w:val="bullet"/>
      <w:start w:val="1"/>
    </w:lvl>
  </w:abstractNum>
  <w:abstractNum w:abstractNumId="103">
    <w:nsid w:val="2A155DBC"/>
    <w:multiLevelType w:val="hybridMultilevel"/>
    <w:lvl w:ilvl="0">
      <w:lvlJc w:val="left"/>
      <w:lvlText w:val="%1."/>
      <w:numFmt w:val="decimal"/>
      <w:start w:val="2"/>
    </w:lvl>
  </w:abstractNum>
  <w:abstractNum w:abstractNumId="104">
    <w:nsid w:val="1D9F6E5F"/>
    <w:multiLevelType w:val="hybridMultilevel"/>
    <w:lvl w:ilvl="0">
      <w:lvlJc w:val="left"/>
      <w:lvlText w:val="%1."/>
      <w:numFmt w:val="decimal"/>
      <w:start w:val="3"/>
    </w:lvl>
  </w:abstractNum>
  <w:abstractNum w:abstractNumId="105">
    <w:nsid w:val="97E1B4E"/>
    <w:multiLevelType w:val="hybridMultilevel"/>
    <w:lvl w:ilvl="0">
      <w:lvlJc w:val="left"/>
      <w:lvlText w:val="%1."/>
      <w:numFmt w:val="decimal"/>
      <w:start w:val="4"/>
    </w:lvl>
  </w:abstractNum>
  <w:abstractNum w:abstractNumId="106">
    <w:nsid w:val="51088277"/>
    <w:multiLevelType w:val="hybridMultilevel"/>
    <w:lvl w:ilvl="0">
      <w:lvlJc w:val="left"/>
      <w:lvlText w:val="%1."/>
      <w:numFmt w:val="decimal"/>
      <w:start w:val="5"/>
    </w:lvl>
  </w:abstractNum>
  <w:abstractNum w:abstractNumId="107">
    <w:nsid w:val="1CA0C5FA"/>
    <w:multiLevelType w:val="hybridMultilevel"/>
    <w:lvl w:ilvl="0">
      <w:lvlJc w:val="left"/>
      <w:lvlText w:val="%1."/>
      <w:numFmt w:val="decimal"/>
      <w:start w:val="6"/>
    </w:lvl>
  </w:abstractNum>
  <w:abstractNum w:abstractNumId="108">
    <w:nsid w:val="53584BCB"/>
    <w:multiLevelType w:val="hybridMultilevel"/>
    <w:lvl w:ilvl="0">
      <w:lvlJc w:val="left"/>
      <w:lvlText w:val="%1."/>
      <w:numFmt w:val="decimal"/>
      <w:start w:val="7"/>
    </w:lvl>
  </w:abstractNum>
  <w:abstractNum w:abstractNumId="109">
    <w:nsid w:val="415E286C"/>
    <w:multiLevelType w:val="hybridMultilevel"/>
    <w:lvl w:ilvl="0">
      <w:lvlJc w:val="left"/>
      <w:lvlText w:val="%1."/>
      <w:numFmt w:val="decimal"/>
      <w:start w:val="5"/>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45" Type="http://schemas.openxmlformats.org/officeDocument/2006/relationships/image" Target="media/image109.png"/><Relationship Id="rId193" Type="http://schemas.openxmlformats.org/officeDocument/2006/relationships/image" Target="media/image110.png"/><Relationship Id="rId195" Type="http://schemas.openxmlformats.org/officeDocument/2006/relationships/image" Target="media/image111.png"/><Relationship Id="rId196" Type="http://schemas.openxmlformats.org/officeDocument/2006/relationships/image" Target="media/image112.png"/><Relationship Id="rId197" Type="http://schemas.openxmlformats.org/officeDocument/2006/relationships/image" Target="media/image113.png"/><Relationship Id="rId198" Type="http://schemas.openxmlformats.org/officeDocument/2006/relationships/image" Target="media/image114.png"/><Relationship Id="rId199" Type="http://schemas.openxmlformats.org/officeDocument/2006/relationships/image" Target="media/image115.png"/><Relationship Id="rId200" Type="http://schemas.openxmlformats.org/officeDocument/2006/relationships/image" Target="media/image116.png"/><Relationship Id="rId201" Type="http://schemas.openxmlformats.org/officeDocument/2006/relationships/image" Target="media/image117.png"/><Relationship Id="rId202" Type="http://schemas.openxmlformats.org/officeDocument/2006/relationships/image" Target="media/image118.png"/><Relationship Id="rId203" Type="http://schemas.openxmlformats.org/officeDocument/2006/relationships/image" Target="media/image119.png"/><Relationship Id="rId204" Type="http://schemas.openxmlformats.org/officeDocument/2006/relationships/image" Target="media/image120.png"/><Relationship Id="rId205" Type="http://schemas.openxmlformats.org/officeDocument/2006/relationships/image" Target="media/image121.png"/><Relationship Id="rId206" Type="http://schemas.openxmlformats.org/officeDocument/2006/relationships/image" Target="media/image122.png"/><Relationship Id="rId207" Type="http://schemas.openxmlformats.org/officeDocument/2006/relationships/image" Target="media/image123.png"/><Relationship Id="rId208" Type="http://schemas.openxmlformats.org/officeDocument/2006/relationships/image" Target="media/image124.png"/><Relationship Id="rId209" Type="http://schemas.openxmlformats.org/officeDocument/2006/relationships/image" Target="media/image125.png"/><Relationship Id="rId210" Type="http://schemas.openxmlformats.org/officeDocument/2006/relationships/image" Target="media/image126.png"/><Relationship Id="rId211" Type="http://schemas.openxmlformats.org/officeDocument/2006/relationships/image" Target="media/image127.png"/><Relationship Id="rId212" Type="http://schemas.openxmlformats.org/officeDocument/2006/relationships/image" Target="media/image128.png"/><Relationship Id="rId213" Type="http://schemas.openxmlformats.org/officeDocument/2006/relationships/image" Target="media/image129.png"/><Relationship Id="rId214" Type="http://schemas.openxmlformats.org/officeDocument/2006/relationships/image" Target="media/image130.png"/><Relationship Id="rId215" Type="http://schemas.openxmlformats.org/officeDocument/2006/relationships/image" Target="media/image131.png"/><Relationship Id="rId116" Type="http://schemas.openxmlformats.org/officeDocument/2006/relationships/hyperlink" Target="http://www.sec.gov/Archives/edgar/data/72444/000143774917017777/ex_97866.htm" TargetMode="External"/><Relationship Id="rId117" Type="http://schemas.openxmlformats.org/officeDocument/2006/relationships/hyperlink" Target="http://www.sec.gov/Archives/edgar/data/72444/000143774918001951/ex_104594.htm" TargetMode="External"/><Relationship Id="rId118" Type="http://schemas.openxmlformats.org/officeDocument/2006/relationships/hyperlink" Target="http://www.sec.gov/Archives/edgar/data/72444/000143774916038645/ex3-1.htm" TargetMode="External"/><Relationship Id="rId119" Type="http://schemas.openxmlformats.org/officeDocument/2006/relationships/hyperlink" Target="http://www.sec.gov/Archives/edgar/data/72444/000119312518049470/d536843dex31.htm" TargetMode="External"/><Relationship Id="rId120" Type="http://schemas.openxmlformats.org/officeDocument/2006/relationships/hyperlink" Target="http://www.sec.gov/Archives/edgar/data/72444/000119312518049470/d536843dex32.htm" TargetMode="External"/><Relationship Id="rId121" Type="http://schemas.openxmlformats.org/officeDocument/2006/relationships/hyperlink" Target="http://www.sec.gov/Archives/edgar/data/72444/000143774919007847/ex_141491.htm" TargetMode="External"/><Relationship Id="rId122" Type="http://schemas.openxmlformats.org/officeDocument/2006/relationships/hyperlink" Target="http://www.sec.gov/Archives/edgar/data/72444/000143774920012735/ex_189396.htm" TargetMode="External"/><Relationship Id="rId123" Type="http://schemas.openxmlformats.org/officeDocument/2006/relationships/hyperlink" Target="http://www.sec.gov/Archives/edgar/data/72444/000143774922019415/ex_404948.htm" TargetMode="External"/><Relationship Id="rId124" Type="http://schemas.openxmlformats.org/officeDocument/2006/relationships/hyperlink" Target="http://www.sec.gov/Archives/edgar/data/72444/000143774924020194/ex_687496.htm" TargetMode="External"/><Relationship Id="rId125" Type="http://schemas.openxmlformats.org/officeDocument/2006/relationships/hyperlink" Target="http://www.sec.gov/Archives/edgar/data/72444/000143774923028774/ex_584587.htm" TargetMode="External"/><Relationship Id="rId126" Type="http://schemas.openxmlformats.org/officeDocument/2006/relationships/hyperlink" Target="http://www.sec.gov/Archives/edgar/data/72444/000143774921008846/ex_239832.htm" TargetMode="External"/><Relationship Id="rId127" Type="http://schemas.openxmlformats.org/officeDocument/2006/relationships/hyperlink" Target="http://www.sec.gov/Archives/edgar/data/72444/000151316218000319/exhibit4_2.htm" TargetMode="External"/><Relationship Id="rId128" Type="http://schemas.openxmlformats.org/officeDocument/2006/relationships/hyperlink" Target="http://www.sec.gov/Archives/edgar/data/72444/000104746919000376/a2237660zex-10_25.htm" TargetMode="External"/><Relationship Id="rId129" Type="http://schemas.openxmlformats.org/officeDocument/2006/relationships/hyperlink" Target="http://www.sec.gov/Archives/edgar/data/72444/000104746919002040/a2238393zex-4_4.htm" TargetMode="External"/><Relationship Id="rId130" Type="http://schemas.openxmlformats.org/officeDocument/2006/relationships/hyperlink" Target="http://www.sec.gov/Archives/edgar/data/72444/000104746919002040/a2238393zex-4_5.htm" TargetMode="External"/><Relationship Id="rId131" Type="http://schemas.openxmlformats.org/officeDocument/2006/relationships/hyperlink" Target="http://www.sec.gov/Archives/edgar/data/72444/000104746919005145/a2239642zex-4_3.htm" TargetMode="External"/><Relationship Id="rId132" Type="http://schemas.openxmlformats.org/officeDocument/2006/relationships/hyperlink" Target="http://www.sec.gov/Archives/edgar/data/72444/000104746919005145/a2239642zex-4_4.htm" TargetMode="External"/><Relationship Id="rId133" Type="http://schemas.openxmlformats.org/officeDocument/2006/relationships/hyperlink" Target="http://www.sec.gov/Archives/edgar/data/72444/000104746919005429/a2239755zex-4_5.htm" TargetMode="External"/><Relationship Id="rId134" Type="http://schemas.openxmlformats.org/officeDocument/2006/relationships/hyperlink" Target="http://www.sec.gov/Archives/edgar/data/72444/000143774920004112/ex_174753.htm" TargetMode="External"/><Relationship Id="rId135" Type="http://schemas.openxmlformats.org/officeDocument/2006/relationships/hyperlink" Target="http://www.sec.gov/Archives/edgar/data/72444/000143774920004112/ex_174754.htm" TargetMode="External"/><Relationship Id="rId136" Type="http://schemas.openxmlformats.org/officeDocument/2006/relationships/hyperlink" Target="http://www.sec.gov/Archives/edgar/data/72444/000119312518049470/d536843dex102.htm" TargetMode="External"/><Relationship Id="rId137" Type="http://schemas.openxmlformats.org/officeDocument/2006/relationships/hyperlink" Target="http://www.sec.gov/Archives/edgar/data/72444/000143774913005823/ex10-5.htm" TargetMode="External"/><Relationship Id="rId138" Type="http://schemas.openxmlformats.org/officeDocument/2006/relationships/hyperlink" Target="http://www.sec.gov/Archives/edgar/data/72444/000143774913005823/ex10-6.htm" TargetMode="External"/><Relationship Id="rId139" Type="http://schemas.openxmlformats.org/officeDocument/2006/relationships/hyperlink" Target="http://www.sec.gov/Archives/edgar/data/72444/000143774913005823/ex10-7.htm" TargetMode="External"/><Relationship Id="rId140" Type="http://schemas.openxmlformats.org/officeDocument/2006/relationships/hyperlink" Target="http://www.sec.gov/Archives/edgar/data/72444/000143774913005823/ex10-8.htm" TargetMode="External"/><Relationship Id="rId141" Type="http://schemas.openxmlformats.org/officeDocument/2006/relationships/hyperlink" Target="http://www.sec.gov/Archives/edgar/data/72444/000143774913005823/ex10-9.htm" TargetMode="External"/><Relationship Id="rId142" Type="http://schemas.openxmlformats.org/officeDocument/2006/relationships/hyperlink" Target="http://www.sec.gov/Archives/edgar/data/72444/000143774913012393/ex10-6.htm" TargetMode="External"/><Relationship Id="rId143" Type="http://schemas.openxmlformats.org/officeDocument/2006/relationships/hyperlink" Target="http://www.sec.gov/Archives/edgar/data/72444/000119312507079679/ddef14a.htm" TargetMode="External"/><Relationship Id="rId144" Type="http://schemas.openxmlformats.org/officeDocument/2006/relationships/hyperlink" Target="http://www.sec.gov/Archives/edgar/data/72444/000143774913015786/ex10-1.htm" TargetMode="External"/><Relationship Id="rId146" Type="http://schemas.openxmlformats.org/officeDocument/2006/relationships/hyperlink" Target="http://www.sec.gov/Archives/edgar/data/72444/000143774916029948/ex10-1.htm" TargetMode="External"/><Relationship Id="rId147" Type="http://schemas.openxmlformats.org/officeDocument/2006/relationships/hyperlink" Target="http://www.sec.gov/Archives/edgar/data/72444/000143774916029948/ex10-2.htm" TargetMode="External"/><Relationship Id="rId148" Type="http://schemas.openxmlformats.org/officeDocument/2006/relationships/hyperlink" Target="http://www.sec.gov/Archives/edgar/data/72444/000143774917008297/ex10-1.htm" TargetMode="External"/><Relationship Id="rId149" Type="http://schemas.openxmlformats.org/officeDocument/2006/relationships/hyperlink" Target="http://www.sec.gov/Archives/edgar/data/72444/000143774916039160/bota20160927_def14a.htm" TargetMode="External"/><Relationship Id="rId150" Type="http://schemas.openxmlformats.org/officeDocument/2006/relationships/hyperlink" Target="http://www.sec.gov/Archives/edgar/data/72444/000143774917020581/ex_101915.htm" TargetMode="External"/><Relationship Id="rId151" Type="http://schemas.openxmlformats.org/officeDocument/2006/relationships/hyperlink" Target="http://www.sec.gov/Archives/edgar/data/72444/000119312518049470/d536843dex103.htm" TargetMode="External"/><Relationship Id="rId152" Type="http://schemas.openxmlformats.org/officeDocument/2006/relationships/hyperlink" Target="http://www.sec.gov/Archives/edgar/data/72444/000143774917021271/ex_102435.htm" TargetMode="External"/><Relationship Id="rId153" Type="http://schemas.openxmlformats.org/officeDocument/2006/relationships/hyperlink" Target="http://www.sec.gov/Archives/edgar/data/72444/000143774917021271/ex_102448.htm" TargetMode="External"/><Relationship Id="rId154" Type="http://schemas.openxmlformats.org/officeDocument/2006/relationships/hyperlink" Target="http://www.sec.gov/Archives/edgar/data/72444/000143774917021271/ex_102449.htm" TargetMode="External"/><Relationship Id="rId155" Type="http://schemas.openxmlformats.org/officeDocument/2006/relationships/hyperlink" Target="http://www.sec.gov/Archives/edgar/data/72444/000151316218000154/exhibit10_1.htm" TargetMode="External"/><Relationship Id="rId156" Type="http://schemas.openxmlformats.org/officeDocument/2006/relationships/hyperlink" Target="http://www.sec.gov/Archives/edgar/data/72444/000143774920014783/ex_192635.htm" TargetMode="External"/><Relationship Id="rId157" Type="http://schemas.openxmlformats.org/officeDocument/2006/relationships/hyperlink" Target="http://www.sec.gov/Archives/edgar/data/72444/000143774920014783/ex_192636.htm" TargetMode="External"/><Relationship Id="rId158" Type="http://schemas.openxmlformats.org/officeDocument/2006/relationships/hyperlink" Target="http://www.sec.gov/Archives/edgar/data/72444/000143774919007847/ex_141494.htm" TargetMode="External"/><Relationship Id="rId159" Type="http://schemas.openxmlformats.org/officeDocument/2006/relationships/hyperlink" Target="http://www.sec.gov/Archives/edgar/data/72444/000104746919005429/a2239755zex-10_30.htm" TargetMode="External"/><Relationship Id="rId160" Type="http://schemas.openxmlformats.org/officeDocument/2006/relationships/hyperlink" Target="http://www.sec.gov/Archives/edgar/data/72444/000143774919018711/ex_158186.htm" TargetMode="External"/><Relationship Id="rId161" Type="http://schemas.openxmlformats.org/officeDocument/2006/relationships/hyperlink" Target="http://www.sec.gov/Archives/edgar/data/72444/000143774920010425/ex_184915.htm" TargetMode="External"/><Relationship Id="rId162" Type="http://schemas.openxmlformats.org/officeDocument/2006/relationships/hyperlink" Target="http://www.sec.gov/Archives/edgar/data/72444/000143774920013152/ex_190535.htm" TargetMode="External"/><Relationship Id="rId163" Type="http://schemas.openxmlformats.org/officeDocument/2006/relationships/hyperlink" Target="http://www.sec.gov/Archives/edgar/data/72444/000143774920023615/ex_212784.htm" TargetMode="External"/><Relationship Id="rId164" Type="http://schemas.openxmlformats.org/officeDocument/2006/relationships/hyperlink" Target="http://www.sec.gov/Archives/edgar/data/72444/000143774920023615/ex_212785.htm" TargetMode="External"/><Relationship Id="rId165" Type="http://schemas.openxmlformats.org/officeDocument/2006/relationships/hyperlink" Target="http://www.sec.gov/Archives/edgar/data/72444/000143774920023615/ex_212786.htm" TargetMode="External"/><Relationship Id="rId166" Type="http://schemas.openxmlformats.org/officeDocument/2006/relationships/hyperlink" Target="http://www.sec.gov/Archives/edgar/data/72444/000143774921004115/ex_224964.htm" TargetMode="External"/><Relationship Id="rId167" Type="http://schemas.openxmlformats.org/officeDocument/2006/relationships/hyperlink" Target="http://www.sec.gov/Archives/edgar/data/0000072444/000143774921022493/ex_285460.htm" TargetMode="External"/><Relationship Id="rId168" Type="http://schemas.openxmlformats.org/officeDocument/2006/relationships/hyperlink" Target="http://www.sec.gov/Archives/edgar/data/0000072444/000143774921022493/ex_285461.htm" TargetMode="External"/><Relationship Id="rId169" Type="http://schemas.openxmlformats.org/officeDocument/2006/relationships/hyperlink" Target="http://www.sec.gov/Archives/edgar/data/72444/000143774921025287/ex_290201.htm" TargetMode="External"/><Relationship Id="rId170" Type="http://schemas.openxmlformats.org/officeDocument/2006/relationships/hyperlink" Target="http://www.sec.gov/Archives/edgar/data/72444/000143774922004354/ex_335023.htm" TargetMode="External"/><Relationship Id="rId171" Type="http://schemas.openxmlformats.org/officeDocument/2006/relationships/hyperlink" Target="http://www.sec.gov/Archives/edgar/data/72444/000143774922011554/ex_364726.htm" TargetMode="External"/><Relationship Id="rId172" Type="http://schemas.openxmlformats.org/officeDocument/2006/relationships/hyperlink" Target="http://www.sec.gov/Archives/edgar/data/72444/000143774924025556/ex_709042.htm" TargetMode="External"/><Relationship Id="rId173" Type="http://schemas.openxmlformats.org/officeDocument/2006/relationships/hyperlink" Target="http://www.sec.gov/Archives/edgar/data/72444/000143774922019415/ex_405687.htm" TargetMode="External"/><Relationship Id="rId174" Type="http://schemas.openxmlformats.org/officeDocument/2006/relationships/hyperlink" Target="http://www.sec.gov/Archives/edgar/data/72444/000143774924020194/ex_687497.htm" TargetMode="External"/><Relationship Id="rId175" Type="http://schemas.openxmlformats.org/officeDocument/2006/relationships/hyperlink" Target="http://www.sec.gov/Archives/edgar/data/72444/000143774924020194/ex_687498.htm" TargetMode="External"/><Relationship Id="rId176" Type="http://schemas.openxmlformats.org/officeDocument/2006/relationships/hyperlink" Target="http://www.sec.gov/Archives/edgar/data/72444/000143774923006688/ex_473277.htm" TargetMode="External"/><Relationship Id="rId177" Type="http://schemas.openxmlformats.org/officeDocument/2006/relationships/hyperlink" Target="http://www.sec.gov/Archives/edgar/data/72444/000143774923012560/ex_513186.htm" TargetMode="External"/><Relationship Id="rId178" Type="http://schemas.openxmlformats.org/officeDocument/2006/relationships/hyperlink" Target="http://www.sec.gov/Archives/edgar/data/72444/000143774923012560/ex_513187.htm" TargetMode="External"/><Relationship Id="rId179" Type="http://schemas.openxmlformats.org/officeDocument/2006/relationships/hyperlink" Target="http://www.sec.gov/Archives/edgar/data/72444/000143774924001326/ex_615318.htm" TargetMode="External"/><Relationship Id="rId180" Type="http://schemas.openxmlformats.org/officeDocument/2006/relationships/hyperlink" Target="http://www.sec.gov/Archives/edgar/data/72444/000143774924007865/ex_639243.htm" TargetMode="External"/><Relationship Id="rId181" Type="http://schemas.openxmlformats.org/officeDocument/2006/relationships/hyperlink" Target="http://www.sec.gov/Archives/edgar/data/72444/000143774924001419/ex_615503.htm" TargetMode="External"/><Relationship Id="rId182" Type="http://schemas.openxmlformats.org/officeDocument/2006/relationships/hyperlink" Target="http://www.sec.gov/Archives/edgar/data/72444/000143774924002971/ex_622122.htm" TargetMode="External"/><Relationship Id="rId183" Type="http://schemas.openxmlformats.org/officeDocument/2006/relationships/hyperlink" Target="http://www.sec.gov/Archives/edgar/data/72444/000143774924006109/ex_631955.htm" TargetMode="External"/><Relationship Id="rId184" Type="http://schemas.openxmlformats.org/officeDocument/2006/relationships/hyperlink" Target="http://www.sec.gov/Archives/edgar/data/72444/000143774924006109/ex_631956.htm" TargetMode="External"/><Relationship Id="rId185" Type="http://schemas.openxmlformats.org/officeDocument/2006/relationships/hyperlink" Target="http://www.sec.gov/Archives/edgar/data/72444/000143774924006109/ex_631957.htm" TargetMode="External"/><Relationship Id="rId186" Type="http://schemas.openxmlformats.org/officeDocument/2006/relationships/hyperlink" Target="http://www.sec.gov/Archives/edgar/data/72444/000143774924006743/ex_635311.htm" TargetMode="External"/><Relationship Id="rId187" Type="http://schemas.openxmlformats.org/officeDocument/2006/relationships/hyperlink" Target="http://www.sec.gov/Archives/edgar/data/72444/000143774924025556/ex_709229.htm" TargetMode="External"/><Relationship Id="rId188" Type="http://schemas.openxmlformats.org/officeDocument/2006/relationships/hyperlink" Target="http://www.sec.gov/Archives/edgar/data/72444/000143774924025556/ex_709230.htm" TargetMode="External"/><Relationship Id="rId189" Type="http://schemas.openxmlformats.org/officeDocument/2006/relationships/hyperlink" Target="http://www.sec.gov/Archives/edgar/data/72444/000143774924034927/ex_743953.htm" TargetMode="External"/><Relationship Id="rId190" Type="http://schemas.openxmlformats.org/officeDocument/2006/relationships/hyperlink" Target="http://www.sec.gov/Archives/edgar/data/72444/000143774925003319/ex_776577.htm" TargetMode="External"/><Relationship Id="rId191" Type="http://schemas.openxmlformats.org/officeDocument/2006/relationships/hyperlink" Target="http://www.sec.gov/Archives/edgar/data/72444/000143774923012560/ex_513188.htm" TargetMode="External"/><Relationship Id="rId192" Type="http://schemas.openxmlformats.org/officeDocument/2006/relationships/hyperlink" Target="http://www.sec.gov/Archives/edgar/data/72444/000143774924007865/ex_638638.htm" TargetMode="External"/><Relationship Id="rId194" Type="http://schemas.openxmlformats.org/officeDocument/2006/relationships/hyperlink" Target="http://www.sec.gov/Archives/edgar/data/72444/000143774924007865/ex_6249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2025-03-20T15:32:56Z</dcterms:created>
  <dcterms:modified xsi:type="dcterms:W3CDTF">2025-03-20T15:32:56Z</dcterms:modified>
</cp:coreProperties>
</file>