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5"/>
          <w:szCs w:val="15"/>
          <w:color w:val="auto"/>
        </w:rPr>
        <w:t>Proxy Statement Pursuant to Section 14(a) of the Securities Exchange Act of 1934</w:t>
      </w:r>
    </w:p>
    <w:p>
      <w:pPr>
        <w:sectPr>
          <w:pgSz w:w="11900" w:h="16838" w:orient="portrait"/>
          <w:cols w:equalWidth="0" w:num="1">
            <w:col w:w="10144"/>
          </w:cols>
          <w:pgMar w:left="316" w:top="468" w:right="1440" w:bottom="1440" w:gutter="0" w:footer="0" w:header="0"/>
        </w:sectPr>
      </w:pPr>
    </w:p>
    <w:p>
      <w:pPr>
        <w:spacing w:after="0" w:line="19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Filed by the Registrant</w:t>
      </w:r>
    </w:p>
    <w:p>
      <w:pPr>
        <w:spacing w:after="0" w:line="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5"/>
          <w:szCs w:val="15"/>
          <w:color w:val="auto"/>
        </w:rPr>
        <w:t>Filed by a Party other than the Registrant</w:t>
      </w:r>
    </w:p>
    <w:p>
      <w:pPr>
        <w:spacing w:after="0" w:line="19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12" w:lineRule="exact"/>
        <w:rPr>
          <w:sz w:val="24"/>
          <w:szCs w:val="24"/>
          <w:color w:val="auto"/>
        </w:rPr>
      </w:pPr>
    </w:p>
    <w:p>
      <w:pPr>
        <w:sectPr>
          <w:pgSz w:w="11900" w:h="16838" w:orient="portrait"/>
          <w:cols w:equalWidth="0" w:num="2">
            <w:col w:w="2784" w:space="720"/>
            <w:col w:w="6639"/>
          </w:cols>
          <w:pgMar w:left="316" w:top="468" w:right="1440" w:bottom="1440" w:gutter="0" w:footer="0" w:header="0"/>
          <w:type w:val="continuous"/>
        </w:sect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98"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98"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98" w:lineRule="exact"/>
        <w:rPr>
          <w:sz w:val="24"/>
          <w:szCs w:val="24"/>
          <w:color w:val="auto"/>
        </w:rPr>
      </w:pPr>
    </w:p>
    <w:p>
      <w:pPr>
        <w:ind w:left="304" w:hanging="304"/>
        <w:spacing w:after="0"/>
        <w:tabs>
          <w:tab w:leader="none" w:pos="30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98" w:lineRule="exact"/>
        <w:rPr>
          <w:sz w:val="24"/>
          <w:szCs w:val="24"/>
          <w:color w:val="auto"/>
        </w:rPr>
      </w:pPr>
    </w:p>
    <w:p>
      <w:pPr>
        <w:ind w:left="304" w:hanging="304"/>
        <w:spacing w:after="0"/>
        <w:tabs>
          <w:tab w:leader="none" w:pos="30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 240.14a-12</w:t>
      </w:r>
    </w:p>
    <w:p>
      <w:pPr>
        <w:spacing w:after="0" w:line="188" w:lineRule="exact"/>
        <w:rPr>
          <w:sz w:val="24"/>
          <w:szCs w:val="24"/>
          <w:color w:val="auto"/>
        </w:rPr>
      </w:pPr>
    </w:p>
    <w:p>
      <w:pPr>
        <w:jc w:val="center"/>
        <w:ind w:right="-1104"/>
        <w:spacing w:after="0"/>
        <w:rPr>
          <w:sz w:val="20"/>
          <w:szCs w:val="20"/>
          <w:color w:val="auto"/>
        </w:rPr>
      </w:pPr>
      <w:r>
        <w:rPr>
          <w:rFonts w:ascii="Times New Roman" w:cs="Times New Roman" w:eastAsia="Times New Roman" w:hAnsi="Times New Roman"/>
          <w:sz w:val="19"/>
          <w:szCs w:val="19"/>
          <w:b w:val="1"/>
          <w:bCs w:val="1"/>
          <w:color w:val="auto"/>
        </w:rPr>
        <w:t>VAXART, INC.</w:t>
      </w:r>
    </w:p>
    <w:p>
      <w:pPr>
        <w:spacing w:after="0" w:line="25"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372"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5"/>
          <w:szCs w:val="15"/>
          <w:color w:val="auto"/>
        </w:rPr>
        <w:t>(Name of Person(s) Filing Proxy Statement if Other Than the Registrant)</w:t>
      </w:r>
    </w:p>
    <w:p>
      <w:pPr>
        <w:spacing w:after="0" w:line="21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98" w:lineRule="exact"/>
        <w:rPr>
          <w:sz w:val="24"/>
          <w:szCs w:val="24"/>
          <w:color w:val="auto"/>
        </w:rPr>
      </w:pPr>
    </w:p>
    <w:p>
      <w:pPr>
        <w:ind w:left="244" w:hanging="244"/>
        <w:spacing w:after="0"/>
        <w:tabs>
          <w:tab w:leader="none" w:pos="24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8" w:lineRule="exact"/>
        <w:rPr>
          <w:sz w:val="24"/>
          <w:szCs w:val="24"/>
          <w:color w:val="auto"/>
        </w:rPr>
      </w:pPr>
    </w:p>
    <w:p>
      <w:pPr>
        <w:ind w:left="244" w:hanging="244"/>
        <w:spacing w:after="0"/>
        <w:tabs>
          <w:tab w:leader="none" w:pos="24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8" w:lineRule="exact"/>
        <w:rPr>
          <w:rFonts w:ascii="MS PGothic" w:cs="MS PGothic" w:eastAsia="MS PGothic" w:hAnsi="MS PGothic"/>
          <w:sz w:val="16"/>
          <w:szCs w:val="16"/>
          <w:color w:val="auto"/>
        </w:rPr>
      </w:pPr>
    </w:p>
    <w:p>
      <w:pPr>
        <w:ind w:left="244" w:hanging="244"/>
        <w:spacing w:after="0"/>
        <w:tabs>
          <w:tab w:leader="none" w:pos="24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553720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468"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About Vaxart</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Language Concerning Forward-Looking Statements</w:t>
      </w:r>
    </w:p>
    <w:p>
      <w:pPr>
        <w:spacing w:after="0" w:line="2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Additional Information and Where to Find It</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Vaxart has filed a definitive proxy statement and form of white proxy card with the U.S. Securities and Exchange Commission (the “SEC”) in connection with its solicitation of proxies for the 2026 Annual Meeting of Stockholders (the “Annual Meeting”). STOCKHOLDERS OF THE COMPANY ARE STRONGLY ENCOURAGED TO READ SUCH PROXY STATEMENT (INCLUDING ANY AMENDMENTS OR SUPPLEMENTS THERETO), THE ACCOMPANYING WHITE PROXY CARD AND ALL OTHER DOCUMENTS FILED WITH, OR FURNISHED TO, THE SEC IN CONNECTION WITH THE ANNUAL MEETING CAREFULLY AND IN THEIR ENTIRETY WHEN THEY BECOME AVAILABLE AS THEY WILL CONTAIN IMPORTANT INFORMATION ABOUT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Fein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Campaign Management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(855) 264-1527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Aaron Palash / Adam Pollack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Joele Frank, Wilkinson Brimmer Katcher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40"/>
      </w:cols>
      <w:pgMar w:left="320" w:top="8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2026-06-26T08:04:05Z</dcterms:created>
  <dcterms:modified xsi:type="dcterms:W3CDTF">2026-06-26T08:04:05Z</dcterms:modified>
</cp:coreProperties>
</file>